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58B" w:rsidRDefault="0087458B" w:rsidP="001016AB">
      <w:pPr>
        <w:pBdr>
          <w:top w:val="single" w:sz="4" w:space="1" w:color="auto"/>
          <w:left w:val="single" w:sz="4" w:space="4" w:color="auto"/>
          <w:bottom w:val="single" w:sz="4" w:space="1" w:color="auto"/>
          <w:right w:val="single" w:sz="4" w:space="4" w:color="auto"/>
        </w:pBdr>
      </w:pPr>
    </w:p>
    <w:p w:rsidR="00CB3439" w:rsidRPr="00F1271A" w:rsidRDefault="00CB3439" w:rsidP="00CB3439">
      <w:pPr>
        <w:pBdr>
          <w:top w:val="single" w:sz="4" w:space="1" w:color="auto"/>
          <w:left w:val="single" w:sz="4" w:space="4" w:color="auto"/>
          <w:bottom w:val="single" w:sz="4" w:space="1" w:color="auto"/>
          <w:right w:val="single" w:sz="4" w:space="4" w:color="auto"/>
        </w:pBdr>
        <w:jc w:val="center"/>
        <w:rPr>
          <w:b/>
          <w:szCs w:val="22"/>
        </w:rPr>
      </w:pPr>
      <w:r w:rsidRPr="00F1271A">
        <w:rPr>
          <w:b/>
          <w:szCs w:val="22"/>
        </w:rPr>
        <w:t>Examination of the Partial Review of the Kensington and Chelsea Core Strategy:  Conservation and Design</w:t>
      </w:r>
    </w:p>
    <w:p w:rsidR="00CB3439" w:rsidRPr="00F1271A" w:rsidRDefault="00CB3439" w:rsidP="00CB3439">
      <w:pPr>
        <w:pBdr>
          <w:top w:val="single" w:sz="4" w:space="1" w:color="auto"/>
          <w:left w:val="single" w:sz="4" w:space="4" w:color="auto"/>
          <w:bottom w:val="single" w:sz="4" w:space="1" w:color="auto"/>
          <w:right w:val="single" w:sz="4" w:space="4" w:color="auto"/>
        </w:pBdr>
        <w:jc w:val="center"/>
        <w:rPr>
          <w:b/>
          <w:szCs w:val="22"/>
        </w:rPr>
      </w:pPr>
    </w:p>
    <w:p w:rsidR="00CB3439" w:rsidRPr="00F1271A" w:rsidRDefault="00CB3439" w:rsidP="00CB3439">
      <w:pPr>
        <w:pBdr>
          <w:top w:val="single" w:sz="4" w:space="1" w:color="auto"/>
          <w:left w:val="single" w:sz="4" w:space="4" w:color="auto"/>
          <w:bottom w:val="single" w:sz="4" w:space="1" w:color="auto"/>
          <w:right w:val="single" w:sz="4" w:space="4" w:color="auto"/>
        </w:pBdr>
        <w:jc w:val="center"/>
        <w:rPr>
          <w:b/>
          <w:szCs w:val="22"/>
        </w:rPr>
      </w:pPr>
      <w:r w:rsidRPr="00F1271A">
        <w:rPr>
          <w:b/>
          <w:szCs w:val="22"/>
        </w:rPr>
        <w:t>Agenda for Hearing Session</w:t>
      </w:r>
      <w:r w:rsidR="00F1271A" w:rsidRPr="00F1271A">
        <w:rPr>
          <w:b/>
          <w:szCs w:val="22"/>
        </w:rPr>
        <w:t>s</w:t>
      </w:r>
    </w:p>
    <w:p w:rsidR="00CB3439" w:rsidRPr="00F1271A" w:rsidRDefault="00CB3439" w:rsidP="00CB3439">
      <w:pPr>
        <w:pBdr>
          <w:top w:val="single" w:sz="4" w:space="1" w:color="auto"/>
          <w:left w:val="single" w:sz="4" w:space="4" w:color="auto"/>
          <w:bottom w:val="single" w:sz="4" w:space="1" w:color="auto"/>
          <w:right w:val="single" w:sz="4" w:space="4" w:color="auto"/>
        </w:pBdr>
        <w:jc w:val="center"/>
        <w:rPr>
          <w:b/>
          <w:szCs w:val="22"/>
        </w:rPr>
      </w:pPr>
    </w:p>
    <w:p w:rsidR="00CB3439" w:rsidRPr="00F1271A" w:rsidRDefault="00CB3439" w:rsidP="00CB3439">
      <w:pPr>
        <w:pBdr>
          <w:top w:val="single" w:sz="4" w:space="1" w:color="auto"/>
          <w:left w:val="single" w:sz="4" w:space="4" w:color="auto"/>
          <w:bottom w:val="single" w:sz="4" w:space="1" w:color="auto"/>
          <w:right w:val="single" w:sz="4" w:space="4" w:color="auto"/>
        </w:pBdr>
        <w:jc w:val="center"/>
        <w:rPr>
          <w:b/>
          <w:szCs w:val="22"/>
        </w:rPr>
      </w:pPr>
      <w:r w:rsidRPr="00F1271A">
        <w:rPr>
          <w:b/>
          <w:szCs w:val="22"/>
        </w:rPr>
        <w:t>10.00 Tuesday 9 September 2014</w:t>
      </w:r>
    </w:p>
    <w:p w:rsidR="00CB3439" w:rsidRPr="00F1271A" w:rsidRDefault="00CB3439" w:rsidP="00CB3439">
      <w:pPr>
        <w:pBdr>
          <w:top w:val="single" w:sz="4" w:space="1" w:color="auto"/>
          <w:left w:val="single" w:sz="4" w:space="4" w:color="auto"/>
          <w:bottom w:val="single" w:sz="4" w:space="1" w:color="auto"/>
          <w:right w:val="single" w:sz="4" w:space="4" w:color="auto"/>
        </w:pBdr>
        <w:jc w:val="center"/>
        <w:rPr>
          <w:b/>
          <w:szCs w:val="22"/>
        </w:rPr>
      </w:pPr>
    </w:p>
    <w:p w:rsidR="001016AB" w:rsidRPr="00F1271A" w:rsidRDefault="00CB3439" w:rsidP="00CB3439">
      <w:pPr>
        <w:pBdr>
          <w:top w:val="single" w:sz="4" w:space="1" w:color="auto"/>
          <w:left w:val="single" w:sz="4" w:space="4" w:color="auto"/>
          <w:bottom w:val="single" w:sz="4" w:space="1" w:color="auto"/>
          <w:right w:val="single" w:sz="4" w:space="4" w:color="auto"/>
        </w:pBdr>
        <w:jc w:val="center"/>
        <w:rPr>
          <w:b/>
          <w:szCs w:val="22"/>
        </w:rPr>
      </w:pPr>
      <w:r w:rsidRPr="00F1271A">
        <w:rPr>
          <w:b/>
          <w:szCs w:val="22"/>
        </w:rPr>
        <w:t>Kensington and Chelsea Town Hall, Horton Street W8 7NX</w:t>
      </w:r>
    </w:p>
    <w:p w:rsidR="00CB3439" w:rsidRPr="00F1271A" w:rsidRDefault="00CB3439" w:rsidP="00CB3439">
      <w:pPr>
        <w:pBdr>
          <w:top w:val="single" w:sz="4" w:space="1" w:color="auto"/>
          <w:left w:val="single" w:sz="4" w:space="4" w:color="auto"/>
          <w:bottom w:val="single" w:sz="4" w:space="1" w:color="auto"/>
          <w:right w:val="single" w:sz="4" w:space="4" w:color="auto"/>
        </w:pBdr>
        <w:jc w:val="center"/>
        <w:rPr>
          <w:b/>
          <w:szCs w:val="22"/>
        </w:rPr>
      </w:pPr>
    </w:p>
    <w:p w:rsidR="00627ECC" w:rsidRDefault="00627ECC" w:rsidP="00492D85">
      <w:pPr>
        <w:jc w:val="left"/>
        <w:rPr>
          <w:b/>
          <w:szCs w:val="22"/>
        </w:rPr>
      </w:pPr>
    </w:p>
    <w:p w:rsidR="00492D85" w:rsidRPr="00F1271A" w:rsidRDefault="00492D85" w:rsidP="00492D85">
      <w:pPr>
        <w:jc w:val="left"/>
        <w:rPr>
          <w:b/>
          <w:sz w:val="20"/>
        </w:rPr>
      </w:pPr>
      <w:r w:rsidRPr="00F1271A">
        <w:rPr>
          <w:b/>
          <w:sz w:val="20"/>
        </w:rPr>
        <w:t>Opening Announcements</w:t>
      </w:r>
    </w:p>
    <w:p w:rsidR="00F03261" w:rsidRPr="00F1271A" w:rsidRDefault="00F03261" w:rsidP="00F03261">
      <w:pPr>
        <w:ind w:left="720"/>
        <w:jc w:val="left"/>
        <w:rPr>
          <w:sz w:val="20"/>
        </w:rPr>
      </w:pPr>
    </w:p>
    <w:p w:rsidR="00492D85" w:rsidRPr="00F1271A" w:rsidRDefault="00F03261" w:rsidP="001F6444">
      <w:pPr>
        <w:numPr>
          <w:ilvl w:val="0"/>
          <w:numId w:val="21"/>
        </w:numPr>
        <w:ind w:left="360"/>
        <w:jc w:val="left"/>
        <w:rPr>
          <w:sz w:val="20"/>
        </w:rPr>
      </w:pPr>
      <w:r w:rsidRPr="00F1271A">
        <w:rPr>
          <w:sz w:val="20"/>
        </w:rPr>
        <w:t>People present, attendance list, and health and safety</w:t>
      </w:r>
    </w:p>
    <w:p w:rsidR="00F03261" w:rsidRPr="00F1271A" w:rsidRDefault="0005128D" w:rsidP="001F6444">
      <w:pPr>
        <w:numPr>
          <w:ilvl w:val="0"/>
          <w:numId w:val="21"/>
        </w:numPr>
        <w:ind w:left="360"/>
        <w:jc w:val="left"/>
        <w:rPr>
          <w:sz w:val="20"/>
        </w:rPr>
      </w:pPr>
      <w:r w:rsidRPr="00F1271A">
        <w:rPr>
          <w:sz w:val="20"/>
        </w:rPr>
        <w:t>Purpose of the h</w:t>
      </w:r>
      <w:r w:rsidR="00F03261" w:rsidRPr="00F1271A">
        <w:rPr>
          <w:sz w:val="20"/>
        </w:rPr>
        <w:t>earing</w:t>
      </w:r>
      <w:r w:rsidRPr="00F1271A">
        <w:rPr>
          <w:sz w:val="20"/>
        </w:rPr>
        <w:t xml:space="preserve"> sessions</w:t>
      </w:r>
    </w:p>
    <w:p w:rsidR="00F03261" w:rsidRPr="00F1271A" w:rsidRDefault="0005128D" w:rsidP="001F6444">
      <w:pPr>
        <w:numPr>
          <w:ilvl w:val="0"/>
          <w:numId w:val="21"/>
        </w:numPr>
        <w:ind w:left="360"/>
        <w:jc w:val="left"/>
        <w:rPr>
          <w:sz w:val="20"/>
        </w:rPr>
      </w:pPr>
      <w:r w:rsidRPr="00F1271A">
        <w:rPr>
          <w:sz w:val="20"/>
        </w:rPr>
        <w:t>Conduct of the hearing sessions</w:t>
      </w:r>
    </w:p>
    <w:p w:rsidR="0005128D" w:rsidRPr="00F1271A" w:rsidRDefault="0005128D" w:rsidP="001F6444">
      <w:pPr>
        <w:numPr>
          <w:ilvl w:val="0"/>
          <w:numId w:val="21"/>
        </w:numPr>
        <w:ind w:left="360"/>
        <w:jc w:val="left"/>
        <w:rPr>
          <w:sz w:val="20"/>
        </w:rPr>
      </w:pPr>
      <w:r w:rsidRPr="00F1271A">
        <w:rPr>
          <w:sz w:val="20"/>
        </w:rPr>
        <w:t>Inspector’s report</w:t>
      </w:r>
    </w:p>
    <w:p w:rsidR="005E0563" w:rsidRPr="00F1271A" w:rsidRDefault="005E0563" w:rsidP="001F6444">
      <w:pPr>
        <w:jc w:val="left"/>
        <w:rPr>
          <w:sz w:val="20"/>
        </w:rPr>
      </w:pPr>
    </w:p>
    <w:p w:rsidR="00F1271A" w:rsidRPr="00F1271A" w:rsidRDefault="00F1271A" w:rsidP="00492D85">
      <w:pPr>
        <w:jc w:val="left"/>
        <w:rPr>
          <w:b/>
          <w:sz w:val="20"/>
        </w:rPr>
      </w:pPr>
      <w:r w:rsidRPr="00F1271A">
        <w:rPr>
          <w:b/>
          <w:sz w:val="20"/>
        </w:rPr>
        <w:t>Council Response to Inspector’s Preliminary Questions</w:t>
      </w:r>
    </w:p>
    <w:p w:rsidR="00F1271A" w:rsidRPr="00F1271A" w:rsidRDefault="00F1271A" w:rsidP="00492D85">
      <w:pPr>
        <w:jc w:val="left"/>
        <w:rPr>
          <w:sz w:val="20"/>
        </w:rPr>
      </w:pPr>
    </w:p>
    <w:p w:rsidR="00F1271A" w:rsidRPr="00F1271A" w:rsidRDefault="00F1271A" w:rsidP="00F1271A">
      <w:pPr>
        <w:numPr>
          <w:ilvl w:val="0"/>
          <w:numId w:val="29"/>
        </w:numPr>
        <w:jc w:val="left"/>
        <w:rPr>
          <w:sz w:val="20"/>
        </w:rPr>
      </w:pPr>
      <w:r w:rsidRPr="00F1271A">
        <w:rPr>
          <w:sz w:val="20"/>
        </w:rPr>
        <w:t>Any clarifications required</w:t>
      </w:r>
    </w:p>
    <w:p w:rsidR="00F1271A" w:rsidRPr="00F1271A" w:rsidRDefault="00F1271A" w:rsidP="00492D85">
      <w:pPr>
        <w:jc w:val="left"/>
        <w:rPr>
          <w:sz w:val="20"/>
        </w:rPr>
      </w:pPr>
    </w:p>
    <w:p w:rsidR="00673EE2" w:rsidRPr="00F1271A" w:rsidRDefault="0005128D" w:rsidP="00492D85">
      <w:pPr>
        <w:jc w:val="left"/>
        <w:rPr>
          <w:b/>
          <w:sz w:val="20"/>
        </w:rPr>
      </w:pPr>
      <w:r w:rsidRPr="00F1271A">
        <w:rPr>
          <w:b/>
          <w:sz w:val="20"/>
        </w:rPr>
        <w:t xml:space="preserve">Potential Main Modifications </w:t>
      </w:r>
    </w:p>
    <w:p w:rsidR="00673EE2" w:rsidRPr="00F1271A" w:rsidRDefault="00673EE2" w:rsidP="00492D85">
      <w:pPr>
        <w:jc w:val="left"/>
        <w:rPr>
          <w:sz w:val="20"/>
        </w:rPr>
      </w:pPr>
    </w:p>
    <w:p w:rsidR="00673EE2" w:rsidRPr="00F1271A" w:rsidRDefault="0005128D" w:rsidP="00673EE2">
      <w:pPr>
        <w:numPr>
          <w:ilvl w:val="0"/>
          <w:numId w:val="25"/>
        </w:numPr>
        <w:jc w:val="left"/>
        <w:rPr>
          <w:sz w:val="20"/>
        </w:rPr>
      </w:pPr>
      <w:r w:rsidRPr="00F1271A">
        <w:rPr>
          <w:rFonts w:cs="Tahoma"/>
          <w:color w:val="000000"/>
          <w:sz w:val="20"/>
          <w:lang w:val="en-US" w:eastAsia="en-US"/>
        </w:rPr>
        <w:t>Council’s recommended changes</w:t>
      </w:r>
    </w:p>
    <w:p w:rsidR="0005128D" w:rsidRPr="00F1271A" w:rsidRDefault="0005128D" w:rsidP="00673EE2">
      <w:pPr>
        <w:numPr>
          <w:ilvl w:val="0"/>
          <w:numId w:val="25"/>
        </w:numPr>
        <w:jc w:val="left"/>
        <w:rPr>
          <w:sz w:val="20"/>
        </w:rPr>
      </w:pPr>
      <w:r w:rsidRPr="00F1271A">
        <w:rPr>
          <w:rFonts w:cs="Tahoma"/>
          <w:color w:val="000000"/>
          <w:sz w:val="20"/>
          <w:lang w:val="en-US" w:eastAsia="en-US"/>
        </w:rPr>
        <w:t>Current core strategy and UDP policies to be superseded</w:t>
      </w:r>
    </w:p>
    <w:p w:rsidR="00AD42F2" w:rsidRPr="00F1271A" w:rsidRDefault="0005128D" w:rsidP="00673EE2">
      <w:pPr>
        <w:numPr>
          <w:ilvl w:val="0"/>
          <w:numId w:val="25"/>
        </w:numPr>
        <w:jc w:val="left"/>
        <w:rPr>
          <w:sz w:val="20"/>
        </w:rPr>
      </w:pPr>
      <w:r w:rsidRPr="00F1271A">
        <w:rPr>
          <w:rFonts w:cs="Helvetica"/>
          <w:color w:val="141413"/>
          <w:sz w:val="20"/>
          <w:lang w:val="en-US" w:eastAsia="en-US"/>
        </w:rPr>
        <w:t>Others</w:t>
      </w:r>
    </w:p>
    <w:p w:rsidR="00673EE2" w:rsidRPr="00F1271A" w:rsidRDefault="00673EE2" w:rsidP="00492D85">
      <w:pPr>
        <w:jc w:val="left"/>
        <w:rPr>
          <w:sz w:val="20"/>
        </w:rPr>
      </w:pPr>
    </w:p>
    <w:p w:rsidR="00CF5D91" w:rsidRPr="00F1271A" w:rsidRDefault="0005128D" w:rsidP="00492D85">
      <w:pPr>
        <w:jc w:val="left"/>
        <w:rPr>
          <w:b/>
          <w:sz w:val="20"/>
        </w:rPr>
      </w:pPr>
      <w:r w:rsidRPr="00F1271A">
        <w:rPr>
          <w:b/>
          <w:sz w:val="20"/>
        </w:rPr>
        <w:t xml:space="preserve">Matter 1: Purpose and Nature of the Revisions </w:t>
      </w:r>
    </w:p>
    <w:p w:rsidR="00492D85" w:rsidRPr="00F1271A" w:rsidRDefault="00492D85" w:rsidP="00CF5D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ahoma"/>
          <w:color w:val="000000"/>
          <w:sz w:val="20"/>
          <w:lang w:val="en-US" w:eastAsia="en-US"/>
        </w:rPr>
      </w:pPr>
    </w:p>
    <w:p w:rsidR="005E0563" w:rsidRPr="00F1271A" w:rsidRDefault="00CB3439" w:rsidP="00312F2F">
      <w:pPr>
        <w:widowControl w:val="0"/>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ahoma"/>
          <w:color w:val="000000"/>
          <w:sz w:val="20"/>
          <w:lang w:val="en-US" w:eastAsia="en-US"/>
        </w:rPr>
      </w:pPr>
      <w:r w:rsidRPr="00F1271A">
        <w:rPr>
          <w:rFonts w:cs="Tahoma"/>
          <w:color w:val="000000"/>
          <w:sz w:val="20"/>
          <w:lang w:val="en-US" w:eastAsia="en-US"/>
        </w:rPr>
        <w:t>N</w:t>
      </w:r>
      <w:r w:rsidR="00312F2F" w:rsidRPr="00F1271A">
        <w:rPr>
          <w:rFonts w:cs="Tahoma"/>
          <w:color w:val="000000"/>
          <w:sz w:val="20"/>
          <w:lang w:val="en-US" w:eastAsia="en-US"/>
        </w:rPr>
        <w:t>ational policy and guidance on local plans</w:t>
      </w:r>
    </w:p>
    <w:p w:rsidR="00312F2F" w:rsidRPr="00F1271A" w:rsidRDefault="00CB3439" w:rsidP="00312F2F">
      <w:pPr>
        <w:widowControl w:val="0"/>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ahoma"/>
          <w:color w:val="000000"/>
          <w:sz w:val="20"/>
          <w:lang w:val="en-US" w:eastAsia="en-US"/>
        </w:rPr>
      </w:pPr>
      <w:r w:rsidRPr="00F1271A">
        <w:rPr>
          <w:rFonts w:cs="Tahoma"/>
          <w:color w:val="000000"/>
          <w:sz w:val="20"/>
          <w:lang w:val="en-US" w:eastAsia="en-US"/>
        </w:rPr>
        <w:t>P</w:t>
      </w:r>
      <w:r w:rsidR="00312F2F" w:rsidRPr="00F1271A">
        <w:rPr>
          <w:rFonts w:cs="Tahoma"/>
          <w:color w:val="000000"/>
          <w:sz w:val="20"/>
          <w:lang w:val="en-US" w:eastAsia="en-US"/>
        </w:rPr>
        <w:t>resumption in favour of sustainable development</w:t>
      </w:r>
    </w:p>
    <w:p w:rsidR="0005128D" w:rsidRPr="00F1271A" w:rsidRDefault="0005128D" w:rsidP="00CF5D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ahoma"/>
          <w:color w:val="000000"/>
          <w:sz w:val="20"/>
          <w:lang w:val="en-US" w:eastAsia="en-US"/>
        </w:rPr>
      </w:pPr>
    </w:p>
    <w:p w:rsidR="0005128D" w:rsidRPr="00F1271A" w:rsidRDefault="0005128D" w:rsidP="00CF5D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ahoma"/>
          <w:b/>
          <w:color w:val="000000"/>
          <w:sz w:val="20"/>
          <w:lang w:val="en-US" w:eastAsia="en-US"/>
        </w:rPr>
      </w:pPr>
      <w:r w:rsidRPr="00F1271A">
        <w:rPr>
          <w:rFonts w:cs="Tahoma"/>
          <w:b/>
          <w:color w:val="000000"/>
          <w:sz w:val="20"/>
          <w:lang w:val="en-US" w:eastAsia="en-US"/>
        </w:rPr>
        <w:t>Matter 2: Character of the Borough and Design of Development</w:t>
      </w:r>
    </w:p>
    <w:p w:rsidR="0005128D" w:rsidRPr="00F1271A" w:rsidRDefault="0005128D" w:rsidP="00CF5D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ahoma"/>
          <w:color w:val="000000"/>
          <w:sz w:val="20"/>
          <w:lang w:val="en-US" w:eastAsia="en-US"/>
        </w:rPr>
      </w:pPr>
    </w:p>
    <w:p w:rsidR="0087458B" w:rsidRPr="00F1271A" w:rsidRDefault="00312F2F" w:rsidP="00312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left"/>
        <w:rPr>
          <w:rFonts w:cs="Tahoma"/>
          <w:color w:val="000000"/>
          <w:sz w:val="20"/>
          <w:lang w:val="en-US" w:eastAsia="en-US"/>
        </w:rPr>
      </w:pPr>
      <w:r w:rsidRPr="00F1271A">
        <w:rPr>
          <w:rFonts w:cs="Tahoma"/>
          <w:color w:val="000000"/>
          <w:sz w:val="20"/>
          <w:lang w:val="en-US" w:eastAsia="en-US"/>
        </w:rPr>
        <w:t>2.1</w:t>
      </w:r>
      <w:r w:rsidRPr="00F1271A">
        <w:rPr>
          <w:rFonts w:cs="Tahoma"/>
          <w:color w:val="000000"/>
          <w:sz w:val="20"/>
          <w:lang w:val="en-US" w:eastAsia="en-US"/>
        </w:rPr>
        <w:tab/>
      </w:r>
      <w:r w:rsidRPr="00F1271A">
        <w:rPr>
          <w:rFonts w:cs="Tahoma"/>
          <w:color w:val="000000"/>
          <w:sz w:val="20"/>
          <w:lang w:val="en-US" w:eastAsia="en-US"/>
        </w:rPr>
        <w:tab/>
        <w:t>CL1 and CL2 – context, character and design</w:t>
      </w:r>
    </w:p>
    <w:p w:rsidR="00312F2F" w:rsidRPr="00F1271A" w:rsidRDefault="00312F2F" w:rsidP="00312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left"/>
        <w:rPr>
          <w:rFonts w:cs="Tahoma"/>
          <w:color w:val="000000"/>
          <w:sz w:val="20"/>
          <w:lang w:val="en-US" w:eastAsia="en-US"/>
        </w:rPr>
      </w:pPr>
      <w:r w:rsidRPr="00F1271A">
        <w:rPr>
          <w:rFonts w:cs="Tahoma"/>
          <w:color w:val="000000"/>
          <w:sz w:val="20"/>
          <w:lang w:val="en-US" w:eastAsia="en-US"/>
        </w:rPr>
        <w:t>2.2</w:t>
      </w:r>
      <w:r w:rsidRPr="00F1271A">
        <w:rPr>
          <w:rFonts w:cs="Tahoma"/>
          <w:color w:val="000000"/>
          <w:sz w:val="20"/>
          <w:lang w:val="en-US" w:eastAsia="en-US"/>
        </w:rPr>
        <w:tab/>
      </w:r>
      <w:r w:rsidRPr="00F1271A">
        <w:rPr>
          <w:rFonts w:cs="Tahoma"/>
          <w:color w:val="000000"/>
          <w:sz w:val="20"/>
          <w:lang w:val="en-US" w:eastAsia="en-US"/>
        </w:rPr>
        <w:tab/>
        <w:t>CL6, CL8 and CL9 – alterations, additions and extensions to buildings</w:t>
      </w:r>
    </w:p>
    <w:p w:rsidR="00312F2F" w:rsidRPr="00F1271A" w:rsidRDefault="00312F2F" w:rsidP="00312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left"/>
        <w:rPr>
          <w:rFonts w:cs="Tahoma"/>
          <w:color w:val="000000"/>
          <w:sz w:val="20"/>
          <w:lang w:val="en-US" w:eastAsia="en-US"/>
        </w:rPr>
      </w:pPr>
      <w:r w:rsidRPr="00F1271A">
        <w:rPr>
          <w:rFonts w:cs="Tahoma"/>
          <w:color w:val="000000"/>
          <w:sz w:val="20"/>
          <w:lang w:val="en-US" w:eastAsia="en-US"/>
        </w:rPr>
        <w:t>2.4</w:t>
      </w:r>
      <w:r w:rsidRPr="00F1271A">
        <w:rPr>
          <w:rFonts w:cs="Tahoma"/>
          <w:color w:val="000000"/>
          <w:sz w:val="20"/>
          <w:lang w:val="en-US" w:eastAsia="en-US"/>
        </w:rPr>
        <w:tab/>
      </w:r>
      <w:r w:rsidRPr="00F1271A">
        <w:rPr>
          <w:rFonts w:cs="Tahoma"/>
          <w:color w:val="000000"/>
          <w:sz w:val="20"/>
          <w:lang w:val="en-US" w:eastAsia="en-US"/>
        </w:rPr>
        <w:tab/>
        <w:t>CL11 – views</w:t>
      </w:r>
    </w:p>
    <w:p w:rsidR="00312F2F" w:rsidRPr="00F1271A" w:rsidRDefault="00312F2F" w:rsidP="00312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left"/>
        <w:rPr>
          <w:rFonts w:cs="Tahoma"/>
          <w:color w:val="000000"/>
          <w:sz w:val="20"/>
          <w:lang w:val="en-US" w:eastAsia="en-US"/>
        </w:rPr>
      </w:pPr>
      <w:r w:rsidRPr="00F1271A">
        <w:rPr>
          <w:rFonts w:cs="Tahoma"/>
          <w:color w:val="000000"/>
          <w:sz w:val="20"/>
          <w:lang w:val="en-US" w:eastAsia="en-US"/>
        </w:rPr>
        <w:t>2.5</w:t>
      </w:r>
      <w:r w:rsidRPr="00F1271A">
        <w:rPr>
          <w:rFonts w:cs="Tahoma"/>
          <w:color w:val="000000"/>
          <w:sz w:val="20"/>
          <w:lang w:val="en-US" w:eastAsia="en-US"/>
        </w:rPr>
        <w:tab/>
      </w:r>
      <w:r w:rsidRPr="00F1271A">
        <w:rPr>
          <w:rFonts w:cs="Tahoma"/>
          <w:color w:val="000000"/>
          <w:sz w:val="20"/>
          <w:lang w:val="en-US" w:eastAsia="en-US"/>
        </w:rPr>
        <w:tab/>
        <w:t>CL12 – building heights</w:t>
      </w:r>
    </w:p>
    <w:p w:rsidR="00312F2F" w:rsidRPr="00F1271A" w:rsidRDefault="00312F2F" w:rsidP="00312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left"/>
        <w:rPr>
          <w:rFonts w:cs="Tahoma"/>
          <w:color w:val="000000"/>
          <w:sz w:val="20"/>
          <w:lang w:val="en-US" w:eastAsia="en-US"/>
        </w:rPr>
      </w:pPr>
    </w:p>
    <w:p w:rsidR="00CF5D91" w:rsidRPr="00F1271A" w:rsidRDefault="0005128D" w:rsidP="00CF5D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ahoma"/>
          <w:b/>
          <w:color w:val="000000"/>
          <w:sz w:val="20"/>
          <w:lang w:val="en-US" w:eastAsia="en-US"/>
        </w:rPr>
      </w:pPr>
      <w:r w:rsidRPr="00F1271A">
        <w:rPr>
          <w:rFonts w:cs="Tahoma"/>
          <w:b/>
          <w:color w:val="000000"/>
          <w:sz w:val="20"/>
          <w:lang w:val="en-US" w:eastAsia="en-US"/>
        </w:rPr>
        <w:t>Matter 3: Heritage Assets</w:t>
      </w:r>
    </w:p>
    <w:p w:rsidR="00CB43FA" w:rsidRPr="00F1271A" w:rsidRDefault="00CB43FA" w:rsidP="00312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ahoma"/>
          <w:color w:val="000000"/>
          <w:sz w:val="20"/>
          <w:lang w:val="en-US" w:eastAsia="en-US"/>
        </w:rPr>
      </w:pPr>
    </w:p>
    <w:p w:rsidR="00312F2F" w:rsidRPr="00F1271A" w:rsidRDefault="00312F2F" w:rsidP="00312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ahoma"/>
          <w:color w:val="000000"/>
          <w:sz w:val="20"/>
          <w:lang w:val="en-US" w:eastAsia="en-US"/>
        </w:rPr>
      </w:pPr>
      <w:r w:rsidRPr="00F1271A">
        <w:rPr>
          <w:rFonts w:cs="Tahoma"/>
          <w:color w:val="000000"/>
          <w:sz w:val="20"/>
          <w:lang w:val="en-US" w:eastAsia="en-US"/>
        </w:rPr>
        <w:t>3.1</w:t>
      </w:r>
      <w:r w:rsidRPr="00F1271A">
        <w:rPr>
          <w:rFonts w:cs="Tahoma"/>
          <w:color w:val="000000"/>
          <w:sz w:val="20"/>
          <w:lang w:val="en-US" w:eastAsia="en-US"/>
        </w:rPr>
        <w:tab/>
        <w:t>CL3 – conservation areas and historic spaces</w:t>
      </w:r>
    </w:p>
    <w:p w:rsidR="00312F2F" w:rsidRPr="00F1271A" w:rsidRDefault="00312F2F" w:rsidP="00312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ahoma"/>
          <w:color w:val="000000"/>
          <w:sz w:val="20"/>
          <w:lang w:val="en-US" w:eastAsia="en-US"/>
        </w:rPr>
      </w:pPr>
      <w:r w:rsidRPr="00F1271A">
        <w:rPr>
          <w:rFonts w:cs="Tahoma"/>
          <w:color w:val="000000"/>
          <w:sz w:val="20"/>
          <w:lang w:val="en-US" w:eastAsia="en-US"/>
        </w:rPr>
        <w:t>3.2</w:t>
      </w:r>
      <w:r w:rsidRPr="00F1271A">
        <w:rPr>
          <w:rFonts w:cs="Tahoma"/>
          <w:color w:val="000000"/>
          <w:sz w:val="20"/>
          <w:lang w:val="en-US" w:eastAsia="en-US"/>
        </w:rPr>
        <w:tab/>
        <w:t>CL4 – listed buildings, scheduled ancient monuments, and archaeology</w:t>
      </w:r>
    </w:p>
    <w:p w:rsidR="005E0563" w:rsidRPr="00F1271A" w:rsidRDefault="005E0563" w:rsidP="005E056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ahoma"/>
          <w:color w:val="000000"/>
          <w:sz w:val="20"/>
          <w:lang w:val="en-US" w:eastAsia="en-US"/>
        </w:rPr>
      </w:pPr>
    </w:p>
    <w:p w:rsidR="00BD54C5" w:rsidRPr="00F1271A" w:rsidRDefault="0005128D" w:rsidP="005E056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ahoma"/>
          <w:b/>
          <w:color w:val="000000"/>
          <w:sz w:val="20"/>
          <w:lang w:val="en-US" w:eastAsia="en-US"/>
        </w:rPr>
      </w:pPr>
      <w:r w:rsidRPr="00F1271A">
        <w:rPr>
          <w:rFonts w:cs="Tahoma"/>
          <w:b/>
          <w:color w:val="000000"/>
          <w:sz w:val="20"/>
          <w:lang w:val="en-US" w:eastAsia="en-US"/>
        </w:rPr>
        <w:t>Any Other Matters</w:t>
      </w:r>
    </w:p>
    <w:p w:rsidR="00BD54C5" w:rsidRPr="00F1271A" w:rsidRDefault="00BD54C5" w:rsidP="005E056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Tahoma"/>
          <w:color w:val="000000"/>
          <w:sz w:val="20"/>
          <w:lang w:val="en-US" w:eastAsia="en-US"/>
        </w:rPr>
      </w:pPr>
    </w:p>
    <w:p w:rsidR="005E0563" w:rsidRPr="00F1271A" w:rsidRDefault="0005128D" w:rsidP="00CB3439">
      <w:pPr>
        <w:numPr>
          <w:ilvl w:val="0"/>
          <w:numId w:val="28"/>
        </w:numPr>
        <w:rPr>
          <w:rFonts w:cs="Tahoma"/>
          <w:color w:val="000000"/>
          <w:sz w:val="20"/>
          <w:lang w:val="en-US" w:eastAsia="en-US"/>
        </w:rPr>
      </w:pPr>
      <w:r w:rsidRPr="00F1271A">
        <w:rPr>
          <w:rFonts w:cs="Tahoma"/>
          <w:color w:val="000000"/>
          <w:sz w:val="20"/>
          <w:lang w:val="en-US" w:eastAsia="en-US"/>
        </w:rPr>
        <w:t xml:space="preserve">CL10 </w:t>
      </w:r>
      <w:r w:rsidR="00CB3439" w:rsidRPr="00F1271A">
        <w:rPr>
          <w:rFonts w:cs="Tahoma"/>
          <w:color w:val="000000"/>
          <w:sz w:val="20"/>
          <w:lang w:val="en-US" w:eastAsia="en-US"/>
        </w:rPr>
        <w:t>–</w:t>
      </w:r>
      <w:r w:rsidRPr="00F1271A">
        <w:rPr>
          <w:rFonts w:cs="Tahoma"/>
          <w:color w:val="000000"/>
          <w:sz w:val="20"/>
          <w:lang w:val="en-US" w:eastAsia="en-US"/>
        </w:rPr>
        <w:t xml:space="preserve"> shopfronts</w:t>
      </w:r>
    </w:p>
    <w:p w:rsidR="00CB3439" w:rsidRPr="00F1271A" w:rsidRDefault="00CB3439" w:rsidP="00CB3439">
      <w:pPr>
        <w:numPr>
          <w:ilvl w:val="0"/>
          <w:numId w:val="28"/>
        </w:numPr>
        <w:rPr>
          <w:rFonts w:cs="Tahoma"/>
          <w:color w:val="000000"/>
          <w:sz w:val="20"/>
          <w:lang w:val="en-US" w:eastAsia="en-US"/>
        </w:rPr>
      </w:pPr>
      <w:r w:rsidRPr="00F1271A">
        <w:rPr>
          <w:rFonts w:cs="Tahoma"/>
          <w:color w:val="000000"/>
          <w:sz w:val="20"/>
          <w:lang w:val="en-US" w:eastAsia="en-US"/>
        </w:rPr>
        <w:t>Any other points representors wish to make</w:t>
      </w:r>
    </w:p>
    <w:p w:rsidR="00CB3439" w:rsidRDefault="00CB3439" w:rsidP="00CB3439">
      <w:pPr>
        <w:rPr>
          <w:rFonts w:cs="Tahoma"/>
          <w:color w:val="000000"/>
          <w:sz w:val="20"/>
          <w:lang w:val="en-US" w:eastAsia="en-US"/>
        </w:rPr>
      </w:pPr>
    </w:p>
    <w:p w:rsidR="003F2D3C" w:rsidRPr="00F1271A" w:rsidRDefault="003F2D3C" w:rsidP="00CB3439">
      <w:pPr>
        <w:rPr>
          <w:rFonts w:cs="Tahoma"/>
          <w:color w:val="000000"/>
          <w:sz w:val="20"/>
          <w:lang w:val="en-US" w:eastAsia="en-US"/>
        </w:rPr>
      </w:pPr>
    </w:p>
    <w:p w:rsidR="00CB3439" w:rsidRDefault="00CB3439" w:rsidP="00CB3439">
      <w:pPr>
        <w:jc w:val="center"/>
        <w:rPr>
          <w:rFonts w:cs="Tahoma"/>
          <w:i/>
          <w:color w:val="000000"/>
          <w:sz w:val="20"/>
          <w:lang w:val="en-US" w:eastAsia="en-US"/>
        </w:rPr>
      </w:pPr>
      <w:r w:rsidRPr="00F1271A">
        <w:rPr>
          <w:rFonts w:cs="Tahoma"/>
          <w:i/>
          <w:color w:val="000000"/>
          <w:sz w:val="20"/>
          <w:lang w:val="en-US" w:eastAsia="en-US"/>
        </w:rPr>
        <w:t>Discussions will focus on whether the partial review is sound (positively prepared, justified, effective, and consistent with national policy) and, if not, how it should be modified to make it sound</w:t>
      </w:r>
    </w:p>
    <w:p w:rsidR="00F1271A" w:rsidRPr="00F1271A" w:rsidRDefault="00F1271A" w:rsidP="00F1271A">
      <w:pPr>
        <w:pBdr>
          <w:bottom w:val="single" w:sz="4" w:space="1" w:color="auto"/>
        </w:pBdr>
        <w:jc w:val="center"/>
        <w:rPr>
          <w:rFonts w:cs="Tahoma"/>
          <w:i/>
          <w:color w:val="000000"/>
          <w:sz w:val="20"/>
          <w:lang w:val="en-US" w:eastAsia="en-US"/>
        </w:rPr>
      </w:pPr>
    </w:p>
    <w:p w:rsidR="00CB3439" w:rsidRPr="00F1271A" w:rsidRDefault="00CB3439" w:rsidP="00CB3439">
      <w:pPr>
        <w:rPr>
          <w:rFonts w:cs="Tahoma"/>
          <w:color w:val="000000"/>
          <w:sz w:val="20"/>
          <w:lang w:val="en-US" w:eastAsia="en-US"/>
        </w:rPr>
      </w:pPr>
    </w:p>
    <w:sectPr w:rsidR="00CB3439" w:rsidRPr="00F1271A" w:rsidSect="000C276C">
      <w:headerReference w:type="default" r:id="rId9"/>
      <w:footerReference w:type="even" r:id="rId10"/>
      <w:footerReference w:type="default" r:id="rId11"/>
      <w:pgSz w:w="11906" w:h="16838"/>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9E1" w:rsidRDefault="00E549E1">
      <w:r>
        <w:separator/>
      </w:r>
    </w:p>
  </w:endnote>
  <w:endnote w:type="continuationSeparator" w:id="0">
    <w:p w:rsidR="00E549E1" w:rsidRDefault="00E549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39" w:rsidRDefault="00CB3439" w:rsidP="00BA0B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3439" w:rsidRDefault="00CB3439" w:rsidP="001C69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39" w:rsidRPr="00287E11" w:rsidRDefault="00CB3439" w:rsidP="001C6908">
    <w:pPr>
      <w:pStyle w:val="Footer"/>
      <w:ind w:right="360"/>
      <w:rPr>
        <w:i/>
        <w:sz w:val="20"/>
      </w:rPr>
    </w:pPr>
    <w:r w:rsidRPr="00021FA7">
      <w:rPr>
        <w:color w:val="333333"/>
        <w:sz w:val="16"/>
        <w:szCs w:val="16"/>
      </w:rPr>
      <w:t xml:space="preserve">Kensington and Chelsea Core Strategy Partial Review: Conservation and Design – </w:t>
    </w:r>
    <w:r>
      <w:rPr>
        <w:color w:val="333333"/>
        <w:sz w:val="16"/>
        <w:szCs w:val="16"/>
      </w:rPr>
      <w:t>Hearing Agenda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9E1" w:rsidRDefault="00E549E1">
      <w:r>
        <w:separator/>
      </w:r>
    </w:p>
  </w:footnote>
  <w:footnote w:type="continuationSeparator" w:id="0">
    <w:p w:rsidR="00E549E1" w:rsidRDefault="00E549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39" w:rsidRPr="00FD5A43" w:rsidRDefault="0050031B" w:rsidP="00955963">
    <w:pPr>
      <w:rPr>
        <w:sz w:val="28"/>
        <w:szCs w:val="28"/>
      </w:rPr>
    </w:pPr>
    <w:r>
      <w:rPr>
        <w:noProof/>
      </w:rPr>
      <w:drawing>
        <wp:inline distT="0" distB="0" distL="0" distR="0">
          <wp:extent cx="3417570" cy="356870"/>
          <wp:effectExtent l="19050" t="0" r="0" b="0"/>
          <wp:docPr id="1" name="Picture 1" descr="PINS logo (black) (A4 s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
                  <a:srcRect/>
                  <a:stretch>
                    <a:fillRect/>
                  </a:stretch>
                </pic:blipFill>
                <pic:spPr bwMode="auto">
                  <a:xfrm>
                    <a:off x="0" y="0"/>
                    <a:ext cx="3417570" cy="356870"/>
                  </a:xfrm>
                  <a:prstGeom prst="rect">
                    <a:avLst/>
                  </a:prstGeom>
                  <a:noFill/>
                  <a:ln w="9525">
                    <a:noFill/>
                    <a:miter lim="800000"/>
                    <a:headEnd/>
                    <a:tailEnd/>
                  </a:ln>
                </pic:spPr>
              </pic:pic>
            </a:graphicData>
          </a:graphic>
        </wp:inline>
      </w:drawing>
    </w:r>
    <w:r w:rsidR="00FD5A43">
      <w:t xml:space="preserve">                       </w:t>
    </w:r>
    <w:r w:rsidR="00FD5A43">
      <w:rPr>
        <w:sz w:val="28"/>
        <w:szCs w:val="28"/>
      </w:rPr>
      <w:t>ID/13</w:t>
    </w:r>
  </w:p>
  <w:p w:rsidR="00CB3439" w:rsidRDefault="00CB34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FF8B7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B7247"/>
    <w:multiLevelType w:val="hybridMultilevel"/>
    <w:tmpl w:val="B5D688DA"/>
    <w:lvl w:ilvl="0" w:tplc="A47CBF4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D7D99"/>
    <w:multiLevelType w:val="hybridMultilevel"/>
    <w:tmpl w:val="7718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2001D"/>
    <w:multiLevelType w:val="hybridMultilevel"/>
    <w:tmpl w:val="24C4F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4E1DCD"/>
    <w:multiLevelType w:val="hybridMultilevel"/>
    <w:tmpl w:val="5A04B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63920"/>
    <w:multiLevelType w:val="hybridMultilevel"/>
    <w:tmpl w:val="226AB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C6CE1"/>
    <w:multiLevelType w:val="hybridMultilevel"/>
    <w:tmpl w:val="A784ED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9805195"/>
    <w:multiLevelType w:val="hybridMultilevel"/>
    <w:tmpl w:val="1EAAB92E"/>
    <w:lvl w:ilvl="0" w:tplc="18CCB1F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B7E413B"/>
    <w:multiLevelType w:val="hybridMultilevel"/>
    <w:tmpl w:val="C24A4134"/>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656E0"/>
    <w:multiLevelType w:val="hybridMultilevel"/>
    <w:tmpl w:val="30966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9A448E"/>
    <w:multiLevelType w:val="hybridMultilevel"/>
    <w:tmpl w:val="B5D688DA"/>
    <w:lvl w:ilvl="0" w:tplc="A47CBF4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2A36BD"/>
    <w:multiLevelType w:val="hybridMultilevel"/>
    <w:tmpl w:val="6A64128E"/>
    <w:lvl w:ilvl="0" w:tplc="DFB237EE">
      <w:start w:val="1"/>
      <w:numFmt w:val="decimal"/>
      <w:lvlText w:val="%1."/>
      <w:lvlJc w:val="left"/>
      <w:pPr>
        <w:tabs>
          <w:tab w:val="num" w:pos="540"/>
        </w:tabs>
        <w:ind w:left="54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4D72048"/>
    <w:multiLevelType w:val="multilevel"/>
    <w:tmpl w:val="A104B89E"/>
    <w:lvl w:ilvl="0">
      <w:start w:val="1"/>
      <w:numFmt w:val="decimal"/>
      <w:lvlText w:val="%1."/>
      <w:lvlJc w:val="left"/>
      <w:pPr>
        <w:tabs>
          <w:tab w:val="num" w:pos="540"/>
        </w:tabs>
        <w:ind w:left="5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6154CDE"/>
    <w:multiLevelType w:val="hybridMultilevel"/>
    <w:tmpl w:val="63DC8938"/>
    <w:lvl w:ilvl="0" w:tplc="0409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4">
    <w:nsid w:val="4DD53206"/>
    <w:multiLevelType w:val="hybridMultilevel"/>
    <w:tmpl w:val="AA7CED86"/>
    <w:lvl w:ilvl="0" w:tplc="858E245A">
      <w:start w:val="6"/>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00E69DE"/>
    <w:multiLevelType w:val="hybridMultilevel"/>
    <w:tmpl w:val="6EE6C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1D2A7F"/>
    <w:multiLevelType w:val="hybridMultilevel"/>
    <w:tmpl w:val="063EE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2057BF"/>
    <w:multiLevelType w:val="hybridMultilevel"/>
    <w:tmpl w:val="F7FE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FA007A"/>
    <w:multiLevelType w:val="hybridMultilevel"/>
    <w:tmpl w:val="DDC2E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B6406"/>
    <w:multiLevelType w:val="multilevel"/>
    <w:tmpl w:val="309C1C28"/>
    <w:lvl w:ilvl="0">
      <w:start w:val="1"/>
      <w:numFmt w:val="decimal"/>
      <w:pStyle w:val="Nnumber"/>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pStyle w:val="Nlisti"/>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nsid w:val="631D1FA8"/>
    <w:multiLevelType w:val="hybridMultilevel"/>
    <w:tmpl w:val="373A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C7E40"/>
    <w:multiLevelType w:val="hybridMultilevel"/>
    <w:tmpl w:val="412EF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74C0A11"/>
    <w:multiLevelType w:val="multilevel"/>
    <w:tmpl w:val="A104B89E"/>
    <w:lvl w:ilvl="0">
      <w:start w:val="1"/>
      <w:numFmt w:val="decimal"/>
      <w:lvlText w:val="%1."/>
      <w:lvlJc w:val="left"/>
      <w:pPr>
        <w:tabs>
          <w:tab w:val="num" w:pos="540"/>
        </w:tabs>
        <w:ind w:left="5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7EA5060"/>
    <w:multiLevelType w:val="hybridMultilevel"/>
    <w:tmpl w:val="95B6FA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F0E3D7A"/>
    <w:multiLevelType w:val="hybridMultilevel"/>
    <w:tmpl w:val="723C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52878"/>
    <w:multiLevelType w:val="hybridMultilevel"/>
    <w:tmpl w:val="7EA64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472163"/>
    <w:multiLevelType w:val="multilevel"/>
    <w:tmpl w:val="1E4A7D56"/>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70D72F74"/>
    <w:multiLevelType w:val="hybridMultilevel"/>
    <w:tmpl w:val="A126A2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61068A"/>
    <w:multiLevelType w:val="hybridMultilevel"/>
    <w:tmpl w:val="3ED60E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AE5AC0"/>
    <w:multiLevelType w:val="multilevel"/>
    <w:tmpl w:val="6A64128E"/>
    <w:lvl w:ilvl="0">
      <w:start w:val="1"/>
      <w:numFmt w:val="decimal"/>
      <w:lvlText w:val="%1."/>
      <w:lvlJc w:val="left"/>
      <w:pPr>
        <w:tabs>
          <w:tab w:val="num" w:pos="540"/>
        </w:tabs>
        <w:ind w:left="5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11"/>
  </w:num>
  <w:num w:numId="3">
    <w:abstractNumId w:val="7"/>
  </w:num>
  <w:num w:numId="4">
    <w:abstractNumId w:val="22"/>
  </w:num>
  <w:num w:numId="5">
    <w:abstractNumId w:val="12"/>
  </w:num>
  <w:num w:numId="6">
    <w:abstractNumId w:val="29"/>
  </w:num>
  <w:num w:numId="7">
    <w:abstractNumId w:val="14"/>
  </w:num>
  <w:num w:numId="8">
    <w:abstractNumId w:val="21"/>
  </w:num>
  <w:num w:numId="9">
    <w:abstractNumId w:val="6"/>
  </w:num>
  <w:num w:numId="10">
    <w:abstractNumId w:val="24"/>
  </w:num>
  <w:num w:numId="11">
    <w:abstractNumId w:val="23"/>
  </w:num>
  <w:num w:numId="12">
    <w:abstractNumId w:val="9"/>
  </w:num>
  <w:num w:numId="13">
    <w:abstractNumId w:val="2"/>
  </w:num>
  <w:num w:numId="14">
    <w:abstractNumId w:val="13"/>
  </w:num>
  <w:num w:numId="15">
    <w:abstractNumId w:val="18"/>
  </w:num>
  <w:num w:numId="16">
    <w:abstractNumId w:val="25"/>
  </w:num>
  <w:num w:numId="17">
    <w:abstractNumId w:val="28"/>
  </w:num>
  <w:num w:numId="18">
    <w:abstractNumId w:val="1"/>
  </w:num>
  <w:num w:numId="19">
    <w:abstractNumId w:val="27"/>
  </w:num>
  <w:num w:numId="20">
    <w:abstractNumId w:val="5"/>
  </w:num>
  <w:num w:numId="21">
    <w:abstractNumId w:val="17"/>
  </w:num>
  <w:num w:numId="22">
    <w:abstractNumId w:val="8"/>
  </w:num>
  <w:num w:numId="23">
    <w:abstractNumId w:val="4"/>
  </w:num>
  <w:num w:numId="24">
    <w:abstractNumId w:val="10"/>
  </w:num>
  <w:num w:numId="25">
    <w:abstractNumId w:val="15"/>
  </w:num>
  <w:num w:numId="26">
    <w:abstractNumId w:val="20"/>
  </w:num>
  <w:num w:numId="27">
    <w:abstractNumId w:val="26"/>
  </w:num>
  <w:num w:numId="28">
    <w:abstractNumId w:val="3"/>
  </w:num>
  <w:num w:numId="29">
    <w:abstractNumId w:val="16"/>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F0C70"/>
    <w:rsid w:val="0000077B"/>
    <w:rsid w:val="00013510"/>
    <w:rsid w:val="00017E92"/>
    <w:rsid w:val="00040E88"/>
    <w:rsid w:val="0005128D"/>
    <w:rsid w:val="00065365"/>
    <w:rsid w:val="00074214"/>
    <w:rsid w:val="0007535C"/>
    <w:rsid w:val="00085B68"/>
    <w:rsid w:val="00094F38"/>
    <w:rsid w:val="00095310"/>
    <w:rsid w:val="000A0E72"/>
    <w:rsid w:val="000A3B80"/>
    <w:rsid w:val="000A642C"/>
    <w:rsid w:val="000B0381"/>
    <w:rsid w:val="000C276C"/>
    <w:rsid w:val="000D568D"/>
    <w:rsid w:val="000E1286"/>
    <w:rsid w:val="000E3890"/>
    <w:rsid w:val="000E450D"/>
    <w:rsid w:val="000E6724"/>
    <w:rsid w:val="001016AB"/>
    <w:rsid w:val="00104A56"/>
    <w:rsid w:val="0011797C"/>
    <w:rsid w:val="00143ED5"/>
    <w:rsid w:val="00144216"/>
    <w:rsid w:val="001469B0"/>
    <w:rsid w:val="00151AF0"/>
    <w:rsid w:val="00162562"/>
    <w:rsid w:val="00180C7A"/>
    <w:rsid w:val="00184326"/>
    <w:rsid w:val="00186341"/>
    <w:rsid w:val="00191AE1"/>
    <w:rsid w:val="00191B03"/>
    <w:rsid w:val="001952A4"/>
    <w:rsid w:val="001A53FB"/>
    <w:rsid w:val="001B7DB1"/>
    <w:rsid w:val="001C6908"/>
    <w:rsid w:val="001C7A79"/>
    <w:rsid w:val="001F06A3"/>
    <w:rsid w:val="001F2AB4"/>
    <w:rsid w:val="001F6444"/>
    <w:rsid w:val="00214D93"/>
    <w:rsid w:val="00270C38"/>
    <w:rsid w:val="00272F27"/>
    <w:rsid w:val="0028022D"/>
    <w:rsid w:val="00281AC2"/>
    <w:rsid w:val="00282EB7"/>
    <w:rsid w:val="00287E11"/>
    <w:rsid w:val="0029722C"/>
    <w:rsid w:val="002C492D"/>
    <w:rsid w:val="002E3800"/>
    <w:rsid w:val="002E66F6"/>
    <w:rsid w:val="003113BB"/>
    <w:rsid w:val="00312F2F"/>
    <w:rsid w:val="00340B84"/>
    <w:rsid w:val="00347D39"/>
    <w:rsid w:val="00353701"/>
    <w:rsid w:val="003801DD"/>
    <w:rsid w:val="0039209A"/>
    <w:rsid w:val="00394D7D"/>
    <w:rsid w:val="00396CD9"/>
    <w:rsid w:val="003972CE"/>
    <w:rsid w:val="003A0885"/>
    <w:rsid w:val="003B16A9"/>
    <w:rsid w:val="003C25DD"/>
    <w:rsid w:val="003C3BC6"/>
    <w:rsid w:val="003E2E49"/>
    <w:rsid w:val="003F2D3C"/>
    <w:rsid w:val="003F44AE"/>
    <w:rsid w:val="00401435"/>
    <w:rsid w:val="004129D9"/>
    <w:rsid w:val="0041680C"/>
    <w:rsid w:val="00427FB3"/>
    <w:rsid w:val="00436865"/>
    <w:rsid w:val="00444E67"/>
    <w:rsid w:val="00444F63"/>
    <w:rsid w:val="00455238"/>
    <w:rsid w:val="00456FE7"/>
    <w:rsid w:val="004726F9"/>
    <w:rsid w:val="00480623"/>
    <w:rsid w:val="00483646"/>
    <w:rsid w:val="00492D85"/>
    <w:rsid w:val="00496595"/>
    <w:rsid w:val="004C489A"/>
    <w:rsid w:val="004D3365"/>
    <w:rsid w:val="0050031B"/>
    <w:rsid w:val="005025BA"/>
    <w:rsid w:val="00522CDD"/>
    <w:rsid w:val="00533946"/>
    <w:rsid w:val="0057005D"/>
    <w:rsid w:val="005755AB"/>
    <w:rsid w:val="005867FE"/>
    <w:rsid w:val="00590821"/>
    <w:rsid w:val="005926E3"/>
    <w:rsid w:val="005A527F"/>
    <w:rsid w:val="005A5881"/>
    <w:rsid w:val="005C2AFF"/>
    <w:rsid w:val="005C3A0A"/>
    <w:rsid w:val="005C50FA"/>
    <w:rsid w:val="005C77D6"/>
    <w:rsid w:val="005C7E35"/>
    <w:rsid w:val="005D668B"/>
    <w:rsid w:val="005D6C71"/>
    <w:rsid w:val="005E0563"/>
    <w:rsid w:val="005E30A3"/>
    <w:rsid w:val="005E4D1E"/>
    <w:rsid w:val="005F0DC3"/>
    <w:rsid w:val="005F3ABE"/>
    <w:rsid w:val="00610EEF"/>
    <w:rsid w:val="00614618"/>
    <w:rsid w:val="00627ECC"/>
    <w:rsid w:val="006459C9"/>
    <w:rsid w:val="006737B7"/>
    <w:rsid w:val="00673EE2"/>
    <w:rsid w:val="00680EE6"/>
    <w:rsid w:val="0068388A"/>
    <w:rsid w:val="00686D7E"/>
    <w:rsid w:val="006D3F1F"/>
    <w:rsid w:val="00702C31"/>
    <w:rsid w:val="00717AB7"/>
    <w:rsid w:val="0075327F"/>
    <w:rsid w:val="00754CBE"/>
    <w:rsid w:val="0076576C"/>
    <w:rsid w:val="007743BA"/>
    <w:rsid w:val="00791C6B"/>
    <w:rsid w:val="00797588"/>
    <w:rsid w:val="007B2C03"/>
    <w:rsid w:val="007C457E"/>
    <w:rsid w:val="007C554E"/>
    <w:rsid w:val="007D5DE3"/>
    <w:rsid w:val="007D7F55"/>
    <w:rsid w:val="007F5E5B"/>
    <w:rsid w:val="007F7A88"/>
    <w:rsid w:val="00802AA5"/>
    <w:rsid w:val="0080301D"/>
    <w:rsid w:val="008112F1"/>
    <w:rsid w:val="00814C74"/>
    <w:rsid w:val="00815E37"/>
    <w:rsid w:val="00832F0C"/>
    <w:rsid w:val="008358BA"/>
    <w:rsid w:val="008408FB"/>
    <w:rsid w:val="0084090B"/>
    <w:rsid w:val="0085601E"/>
    <w:rsid w:val="00860094"/>
    <w:rsid w:val="00865B52"/>
    <w:rsid w:val="008670D7"/>
    <w:rsid w:val="00872ECF"/>
    <w:rsid w:val="0087458B"/>
    <w:rsid w:val="00892157"/>
    <w:rsid w:val="008B14DC"/>
    <w:rsid w:val="008B2EA8"/>
    <w:rsid w:val="008C118C"/>
    <w:rsid w:val="008C4FFF"/>
    <w:rsid w:val="008D0FA9"/>
    <w:rsid w:val="008D4D2E"/>
    <w:rsid w:val="00902BF3"/>
    <w:rsid w:val="00905F23"/>
    <w:rsid w:val="009072D8"/>
    <w:rsid w:val="009156B5"/>
    <w:rsid w:val="00915DA4"/>
    <w:rsid w:val="009226F8"/>
    <w:rsid w:val="009232E3"/>
    <w:rsid w:val="00947966"/>
    <w:rsid w:val="00955637"/>
    <w:rsid w:val="00955963"/>
    <w:rsid w:val="00974FD3"/>
    <w:rsid w:val="00975AEA"/>
    <w:rsid w:val="00980897"/>
    <w:rsid w:val="00981E5B"/>
    <w:rsid w:val="009868CB"/>
    <w:rsid w:val="00990790"/>
    <w:rsid w:val="0099274D"/>
    <w:rsid w:val="00996BA3"/>
    <w:rsid w:val="009A787F"/>
    <w:rsid w:val="009C754A"/>
    <w:rsid w:val="009D638C"/>
    <w:rsid w:val="009D64C7"/>
    <w:rsid w:val="009E152B"/>
    <w:rsid w:val="009E2C5A"/>
    <w:rsid w:val="009E464F"/>
    <w:rsid w:val="009F028C"/>
    <w:rsid w:val="009F0C70"/>
    <w:rsid w:val="009F6B1F"/>
    <w:rsid w:val="00A11CBC"/>
    <w:rsid w:val="00A12677"/>
    <w:rsid w:val="00A31361"/>
    <w:rsid w:val="00A41FE1"/>
    <w:rsid w:val="00A61F76"/>
    <w:rsid w:val="00A71BCD"/>
    <w:rsid w:val="00A76C21"/>
    <w:rsid w:val="00A90AA7"/>
    <w:rsid w:val="00AA138F"/>
    <w:rsid w:val="00AB6228"/>
    <w:rsid w:val="00AD2600"/>
    <w:rsid w:val="00AD42F2"/>
    <w:rsid w:val="00AE04B6"/>
    <w:rsid w:val="00AE631B"/>
    <w:rsid w:val="00AF64F9"/>
    <w:rsid w:val="00B03AED"/>
    <w:rsid w:val="00B21C78"/>
    <w:rsid w:val="00B26617"/>
    <w:rsid w:val="00B337A4"/>
    <w:rsid w:val="00B44B4D"/>
    <w:rsid w:val="00B502A2"/>
    <w:rsid w:val="00B63ACC"/>
    <w:rsid w:val="00B63E3E"/>
    <w:rsid w:val="00B702EF"/>
    <w:rsid w:val="00BA0BF0"/>
    <w:rsid w:val="00BB3268"/>
    <w:rsid w:val="00BC3B82"/>
    <w:rsid w:val="00BD0C8C"/>
    <w:rsid w:val="00BD2DEF"/>
    <w:rsid w:val="00BD54C5"/>
    <w:rsid w:val="00BD6D71"/>
    <w:rsid w:val="00BE162B"/>
    <w:rsid w:val="00BE685A"/>
    <w:rsid w:val="00BF30F3"/>
    <w:rsid w:val="00C01824"/>
    <w:rsid w:val="00C03712"/>
    <w:rsid w:val="00C03F74"/>
    <w:rsid w:val="00C06E7B"/>
    <w:rsid w:val="00C16D98"/>
    <w:rsid w:val="00C2115D"/>
    <w:rsid w:val="00C22858"/>
    <w:rsid w:val="00C320EA"/>
    <w:rsid w:val="00C377C6"/>
    <w:rsid w:val="00C43CDA"/>
    <w:rsid w:val="00C5319B"/>
    <w:rsid w:val="00C61736"/>
    <w:rsid w:val="00C61CDC"/>
    <w:rsid w:val="00C61DBD"/>
    <w:rsid w:val="00C64AD6"/>
    <w:rsid w:val="00C717F2"/>
    <w:rsid w:val="00C8233B"/>
    <w:rsid w:val="00C94D6A"/>
    <w:rsid w:val="00CB3439"/>
    <w:rsid w:val="00CB43FA"/>
    <w:rsid w:val="00CB4F6B"/>
    <w:rsid w:val="00CC0E7C"/>
    <w:rsid w:val="00CC5E88"/>
    <w:rsid w:val="00CC6F33"/>
    <w:rsid w:val="00CD4145"/>
    <w:rsid w:val="00CE1F97"/>
    <w:rsid w:val="00CE2677"/>
    <w:rsid w:val="00CF0D41"/>
    <w:rsid w:val="00CF1287"/>
    <w:rsid w:val="00CF18D7"/>
    <w:rsid w:val="00CF335D"/>
    <w:rsid w:val="00CF51B1"/>
    <w:rsid w:val="00CF5D91"/>
    <w:rsid w:val="00D054E8"/>
    <w:rsid w:val="00D1449B"/>
    <w:rsid w:val="00D242DF"/>
    <w:rsid w:val="00D358D9"/>
    <w:rsid w:val="00D432A0"/>
    <w:rsid w:val="00D553E1"/>
    <w:rsid w:val="00D96D6D"/>
    <w:rsid w:val="00DA27DA"/>
    <w:rsid w:val="00DA2ADF"/>
    <w:rsid w:val="00DA4673"/>
    <w:rsid w:val="00DB090F"/>
    <w:rsid w:val="00DB3BA0"/>
    <w:rsid w:val="00DB4EB0"/>
    <w:rsid w:val="00DE3F03"/>
    <w:rsid w:val="00DE45C8"/>
    <w:rsid w:val="00E025AB"/>
    <w:rsid w:val="00E152BC"/>
    <w:rsid w:val="00E15F63"/>
    <w:rsid w:val="00E373FC"/>
    <w:rsid w:val="00E3792E"/>
    <w:rsid w:val="00E549E1"/>
    <w:rsid w:val="00E570F9"/>
    <w:rsid w:val="00E60337"/>
    <w:rsid w:val="00E67287"/>
    <w:rsid w:val="00E82BE1"/>
    <w:rsid w:val="00E85DE1"/>
    <w:rsid w:val="00EA7EF0"/>
    <w:rsid w:val="00EB1B19"/>
    <w:rsid w:val="00EB3F6A"/>
    <w:rsid w:val="00ED1543"/>
    <w:rsid w:val="00ED1A4D"/>
    <w:rsid w:val="00ED4F7B"/>
    <w:rsid w:val="00ED7782"/>
    <w:rsid w:val="00EE09AE"/>
    <w:rsid w:val="00EE2465"/>
    <w:rsid w:val="00F00787"/>
    <w:rsid w:val="00F03261"/>
    <w:rsid w:val="00F1271A"/>
    <w:rsid w:val="00F12CD7"/>
    <w:rsid w:val="00F173AB"/>
    <w:rsid w:val="00F45744"/>
    <w:rsid w:val="00F54E1A"/>
    <w:rsid w:val="00F8248A"/>
    <w:rsid w:val="00F824A8"/>
    <w:rsid w:val="00F87178"/>
    <w:rsid w:val="00F91B74"/>
    <w:rsid w:val="00F94799"/>
    <w:rsid w:val="00FA665E"/>
    <w:rsid w:val="00FB09C9"/>
    <w:rsid w:val="00FB55FA"/>
    <w:rsid w:val="00FC4640"/>
    <w:rsid w:val="00FD2F3F"/>
    <w:rsid w:val="00FD30AD"/>
    <w:rsid w:val="00FD32CF"/>
    <w:rsid w:val="00FD351B"/>
    <w:rsid w:val="00FD5A43"/>
    <w:rsid w:val="00FD7252"/>
    <w:rsid w:val="00FE303E"/>
    <w:rsid w:val="00FE5ACA"/>
    <w:rsid w:val="00FE66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4D3365"/>
    <w:pPr>
      <w:jc w:val="both"/>
    </w:pPr>
    <w:rPr>
      <w:rFonts w:ascii="Verdana" w:hAnsi="Verdana"/>
      <w:sz w:val="22"/>
    </w:rPr>
  </w:style>
  <w:style w:type="paragraph" w:styleId="Heading1">
    <w:name w:val="heading 1"/>
    <w:basedOn w:val="Normal"/>
    <w:next w:val="Normal"/>
    <w:qFormat/>
    <w:rsid w:val="004D3365"/>
    <w:pPr>
      <w:keepNext/>
      <w:widowControl w:val="0"/>
      <w:spacing w:before="480" w:after="60"/>
      <w:outlineLvl w:val="0"/>
    </w:pPr>
    <w:rPr>
      <w:color w:val="808080"/>
      <w:kern w:val="28"/>
      <w:sz w:val="7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lista">
    <w:name w:val="N_list (a)"/>
    <w:basedOn w:val="Normal"/>
    <w:rsid w:val="004D3365"/>
    <w:pPr>
      <w:numPr>
        <w:ilvl w:val="1"/>
        <w:numId w:val="1"/>
      </w:numPr>
      <w:tabs>
        <w:tab w:val="clear" w:pos="851"/>
        <w:tab w:val="num" w:pos="1440"/>
      </w:tabs>
      <w:spacing w:before="80"/>
      <w:ind w:left="720" w:right="369" w:hanging="360"/>
    </w:pPr>
  </w:style>
  <w:style w:type="paragraph" w:customStyle="1" w:styleId="Nlisti">
    <w:name w:val="N_list (i)"/>
    <w:basedOn w:val="Normal"/>
    <w:rsid w:val="004D3365"/>
    <w:pPr>
      <w:numPr>
        <w:ilvl w:val="2"/>
        <w:numId w:val="1"/>
      </w:numPr>
      <w:tabs>
        <w:tab w:val="clear" w:pos="1134"/>
        <w:tab w:val="num" w:pos="2177"/>
      </w:tabs>
      <w:spacing w:before="60"/>
      <w:ind w:right="511" w:hanging="397"/>
    </w:pPr>
    <w:rPr>
      <w:sz w:val="20"/>
    </w:rPr>
  </w:style>
  <w:style w:type="paragraph" w:customStyle="1" w:styleId="Nlisti0">
    <w:name w:val="N_list i"/>
    <w:rsid w:val="004D3365"/>
    <w:pPr>
      <w:numPr>
        <w:ilvl w:val="3"/>
        <w:numId w:val="1"/>
      </w:numPr>
      <w:tabs>
        <w:tab w:val="clear" w:pos="1361"/>
        <w:tab w:val="num" w:pos="1440"/>
      </w:tabs>
      <w:spacing w:before="40"/>
      <w:ind w:left="1440" w:right="516" w:hanging="360"/>
    </w:pPr>
    <w:rPr>
      <w:rFonts w:ascii="Lucida Sans Unicode" w:hAnsi="Lucida Sans Unicode"/>
      <w:noProof/>
      <w:sz w:val="16"/>
    </w:rPr>
  </w:style>
  <w:style w:type="paragraph" w:customStyle="1" w:styleId="Nnumber">
    <w:name w:val="N_number"/>
    <w:link w:val="NnumberChar"/>
    <w:rsid w:val="004D3365"/>
    <w:pPr>
      <w:numPr>
        <w:numId w:val="1"/>
      </w:numPr>
      <w:tabs>
        <w:tab w:val="clear" w:pos="720"/>
        <w:tab w:val="num" w:pos="360"/>
        <w:tab w:val="left" w:pos="426"/>
      </w:tabs>
      <w:spacing w:before="180"/>
      <w:ind w:left="360" w:hanging="360"/>
      <w:jc w:val="both"/>
    </w:pPr>
    <w:rPr>
      <w:rFonts w:ascii="Verdana" w:hAnsi="Verdana"/>
      <w:sz w:val="24"/>
    </w:rPr>
  </w:style>
  <w:style w:type="character" w:customStyle="1" w:styleId="NnumberChar">
    <w:name w:val="N_number Char"/>
    <w:link w:val="Nnumber"/>
    <w:rsid w:val="004D3365"/>
    <w:rPr>
      <w:rFonts w:ascii="Verdana" w:hAnsi="Verdana"/>
      <w:sz w:val="24"/>
      <w:lang w:val="en-GB" w:eastAsia="en-GB" w:bidi="ar-SA"/>
    </w:rPr>
  </w:style>
  <w:style w:type="paragraph" w:styleId="Header">
    <w:name w:val="header"/>
    <w:basedOn w:val="Normal"/>
    <w:rsid w:val="00F173AB"/>
    <w:pPr>
      <w:tabs>
        <w:tab w:val="center" w:pos="4153"/>
        <w:tab w:val="right" w:pos="8306"/>
      </w:tabs>
    </w:pPr>
  </w:style>
  <w:style w:type="paragraph" w:styleId="Footer">
    <w:name w:val="footer"/>
    <w:basedOn w:val="Normal"/>
    <w:rsid w:val="00F173AB"/>
    <w:pPr>
      <w:tabs>
        <w:tab w:val="center" w:pos="4153"/>
        <w:tab w:val="right" w:pos="8306"/>
      </w:tabs>
    </w:pPr>
  </w:style>
  <w:style w:type="character" w:styleId="Hyperlink">
    <w:name w:val="Hyperlink"/>
    <w:rsid w:val="00FD2F3F"/>
    <w:rPr>
      <w:color w:val="0000FF"/>
      <w:u w:val="single"/>
    </w:rPr>
  </w:style>
  <w:style w:type="character" w:styleId="FollowedHyperlink">
    <w:name w:val="FollowedHyperlink"/>
    <w:rsid w:val="00CD4145"/>
    <w:rPr>
      <w:color w:val="606420"/>
      <w:u w:val="single"/>
    </w:rPr>
  </w:style>
  <w:style w:type="paragraph" w:styleId="BalloonText">
    <w:name w:val="Balloon Text"/>
    <w:basedOn w:val="Normal"/>
    <w:semiHidden/>
    <w:rsid w:val="007743BA"/>
    <w:rPr>
      <w:rFonts w:ascii="Tahoma" w:hAnsi="Tahoma" w:cs="Tahoma"/>
      <w:sz w:val="16"/>
      <w:szCs w:val="16"/>
    </w:rPr>
  </w:style>
  <w:style w:type="character" w:styleId="CommentReference">
    <w:name w:val="annotation reference"/>
    <w:semiHidden/>
    <w:rsid w:val="008C118C"/>
    <w:rPr>
      <w:sz w:val="16"/>
      <w:szCs w:val="16"/>
    </w:rPr>
  </w:style>
  <w:style w:type="paragraph" w:styleId="CommentText">
    <w:name w:val="annotation text"/>
    <w:basedOn w:val="Normal"/>
    <w:semiHidden/>
    <w:rsid w:val="008C118C"/>
    <w:rPr>
      <w:sz w:val="20"/>
    </w:rPr>
  </w:style>
  <w:style w:type="paragraph" w:styleId="CommentSubject">
    <w:name w:val="annotation subject"/>
    <w:basedOn w:val="CommentText"/>
    <w:next w:val="CommentText"/>
    <w:semiHidden/>
    <w:rsid w:val="008C118C"/>
    <w:rPr>
      <w:b/>
      <w:bCs/>
    </w:rPr>
  </w:style>
  <w:style w:type="table" w:styleId="TableGrid">
    <w:name w:val="Table Grid"/>
    <w:basedOn w:val="TableNormal"/>
    <w:rsid w:val="00444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1C69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B4EC-58D0-4EC6-98B6-644D7FE745D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3894C1-5615-423F-A62C-7A105065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PINS NSI Note 10</vt:lpstr>
    </vt:vector>
  </TitlesOfParts>
  <Company>Department for Communities and Local Government</Company>
  <LinksUpToDate>false</LinksUpToDate>
  <CharactersWithSpaces>1402</CharactersWithSpaces>
  <SharedDoc>false</SharedDoc>
  <HLinks>
    <vt:vector size="6" baseType="variant">
      <vt:variant>
        <vt:i4>6226018</vt:i4>
      </vt:variant>
      <vt:variant>
        <vt:i4>3464</vt:i4>
      </vt:variant>
      <vt:variant>
        <vt:i4>1025</vt:i4>
      </vt:variant>
      <vt:variant>
        <vt:i4>1</vt:i4>
      </vt:variant>
      <vt:variant>
        <vt:lpwstr>PINS logo (black) (A4 sizing)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PINS NSI Note 10</dc:title>
  <dc:creator>Phil Taylor</dc:creator>
  <cp:lastModifiedBy>PLNGIKA</cp:lastModifiedBy>
  <cp:revision>2</cp:revision>
  <cp:lastPrinted>2014-09-03T10:10:00Z</cp:lastPrinted>
  <dcterms:created xsi:type="dcterms:W3CDTF">2014-09-04T14:13:00Z</dcterms:created>
  <dcterms:modified xsi:type="dcterms:W3CDTF">2014-09-04T14:13:00Z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9895eef7-4670-42bf-957b-0a51a65790e2</vt:lpwstr>
  </property>
  <property fmtid="{D5CDD505-2E9C-101B-9397-08002B2CF9AE}" pid="3" name="bjDocumentSecurityLabel">
    <vt:lpwstr>No Marking</vt:lpwstr>
  </property>
  <property fmtid="{D5CDD505-2E9C-101B-9397-08002B2CF9AE}" pid="4" name="bjSaver">
    <vt:lpwstr>by5JXaxOZIzrpYcpQZ55u4LFEW743ocT</vt:lpwstr>
  </property>
</Properties>
</file>