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D656" w14:textId="2B1E9348" w:rsidR="0084591C" w:rsidRPr="00906214" w:rsidRDefault="00906214">
      <w:pPr>
        <w:rPr>
          <w:b/>
          <w:bCs/>
        </w:rPr>
      </w:pPr>
      <w:r w:rsidRPr="00906214">
        <w:rPr>
          <w:b/>
          <w:bCs/>
        </w:rPr>
        <w:t>Annual Summary for the period 01 January 2024 to 31 March 2025 for the Provision of Relevant Health Care Services pursuant</w:t>
      </w:r>
      <w:r w:rsidRPr="00906214">
        <w:rPr>
          <w:b/>
          <w:bCs/>
        </w:rPr>
        <w:t xml:space="preserve"> </w:t>
      </w:r>
      <w:r w:rsidRPr="00906214">
        <w:rPr>
          <w:b/>
          <w:bCs/>
        </w:rPr>
        <w:t>to Regulation 25 of the Health Care Services (Provider Selection Regime) Regulations 2023</w:t>
      </w:r>
      <w:r w:rsidRPr="00906214">
        <w:rPr>
          <w:b/>
          <w:bCs/>
        </w:rPr>
        <w:t>.</w:t>
      </w:r>
    </w:p>
    <w:p w14:paraId="49605F55" w14:textId="29646FDC" w:rsidR="00906214" w:rsidRDefault="00906214">
      <w:r w:rsidRPr="00906214">
        <w:drawing>
          <wp:inline distT="0" distB="0" distL="0" distR="0" wp14:anchorId="6C97D0F3" wp14:editId="4086B029">
            <wp:extent cx="5731510" cy="3703955"/>
            <wp:effectExtent l="0" t="0" r="2540" b="0"/>
            <wp:docPr id="20611798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14"/>
    <w:rsid w:val="00074366"/>
    <w:rsid w:val="0084591C"/>
    <w:rsid w:val="0090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0486"/>
  <w15:chartTrackingRefBased/>
  <w15:docId w15:val="{30288D0E-15FF-46AC-9753-050A41E2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Rinn, Daniel: RBKC</dc:creator>
  <cp:keywords/>
  <dc:description/>
  <cp:lastModifiedBy>Rinn, Daniel: RBKC</cp:lastModifiedBy>
  <cp:revision>1</cp:revision>
  <dcterms:created xsi:type="dcterms:W3CDTF">2025-09-19T10:51:00Z</dcterms:created>
  <dcterms:modified xsi:type="dcterms:W3CDTF">2025-09-19T10:55:00Z</dcterms:modified>
</cp:coreProperties>
</file>