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06" w:rsidRDefault="00174906" w:rsidP="0017490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28EFF" w:themeFill="text2" w:themeFillTint="66"/>
        <w:jc w:val="center"/>
        <w:rPr>
          <w:b/>
        </w:rPr>
      </w:pPr>
      <w:bookmarkStart w:id="0" w:name="_GoBack"/>
      <w:bookmarkEnd w:id="0"/>
      <w:r>
        <w:rPr>
          <w:b/>
        </w:rPr>
        <w:t>Tri- borough SEN Support</w:t>
      </w:r>
      <w:r w:rsidRPr="008C0B41">
        <w:rPr>
          <w:b/>
        </w:rPr>
        <w:t xml:space="preserve"> Toolkit</w:t>
      </w:r>
      <w:r>
        <w:rPr>
          <w:b/>
        </w:rPr>
        <w:t>: Identifying Pupils with SEND</w:t>
      </w:r>
    </w:p>
    <w:p w:rsidR="00174906" w:rsidRDefault="00174906" w:rsidP="0017490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28EFF" w:themeFill="text2" w:themeFillTint="66"/>
        <w:jc w:val="center"/>
        <w:rPr>
          <w:b/>
        </w:rPr>
      </w:pPr>
      <w:r w:rsidRPr="008C0B41">
        <w:rPr>
          <w:b/>
        </w:rPr>
        <w:t>Reviewing Inclusive Practic</w:t>
      </w:r>
      <w:r>
        <w:rPr>
          <w:b/>
        </w:rPr>
        <w:t>e within Quality First Teaching</w:t>
      </w:r>
    </w:p>
    <w:p w:rsidR="005828A8" w:rsidRDefault="00E57654"/>
    <w:p w:rsidR="00174906" w:rsidRDefault="00174906" w:rsidP="00174906">
      <w:pPr>
        <w:jc w:val="center"/>
        <w:rPr>
          <w:b/>
          <w:color w:val="00209F" w:themeColor="text2"/>
        </w:rPr>
      </w:pPr>
      <w:r w:rsidRPr="000726B5">
        <w:rPr>
          <w:b/>
          <w:i/>
          <w:color w:val="00209F" w:themeColor="text2"/>
        </w:rPr>
        <w:t xml:space="preserve">“High quality teaching, differentiated for individuals is the first step in responding to pupils who have or may have SEN. Additional interventions </w:t>
      </w:r>
      <w:proofErr w:type="gramStart"/>
      <w:r w:rsidRPr="000726B5">
        <w:rPr>
          <w:b/>
          <w:i/>
          <w:color w:val="00209F" w:themeColor="text2"/>
        </w:rPr>
        <w:t>an</w:t>
      </w:r>
      <w:proofErr w:type="gramEnd"/>
      <w:r w:rsidRPr="000726B5">
        <w:rPr>
          <w:b/>
          <w:i/>
          <w:color w:val="00209F" w:themeColor="text2"/>
        </w:rPr>
        <w:t xml:space="preserve"> support cannot compensate for a lack of good quality teaching”</w:t>
      </w:r>
      <w:r w:rsidRPr="000726B5">
        <w:rPr>
          <w:b/>
          <w:color w:val="00209F" w:themeColor="text2"/>
        </w:rPr>
        <w:t xml:space="preserve"> (SEND Code of Practice January 2015 6.37)</w:t>
      </w:r>
    </w:p>
    <w:p w:rsidR="00DE366D" w:rsidRDefault="00174906" w:rsidP="00DE366D">
      <w:r w:rsidRPr="00FF3726">
        <w:rPr>
          <w:sz w:val="20"/>
          <w:szCs w:val="20"/>
        </w:rPr>
        <w:t>This guidance provides a framework for both lesson observations and discussion with teachers to check that appropriate strategies are in place to identify and support vulnerable pupils</w:t>
      </w:r>
      <w:r w:rsidR="00DE366D">
        <w:rPr>
          <w:sz w:val="20"/>
          <w:szCs w:val="20"/>
        </w:rPr>
        <w:t xml:space="preserve"> and/or identify training needs </w:t>
      </w:r>
      <w:r w:rsidR="00DE366D">
        <w:t>at both school and individual level.</w:t>
      </w:r>
    </w:p>
    <w:p w:rsidR="00174906" w:rsidRPr="00174906" w:rsidRDefault="00174906" w:rsidP="00174906">
      <w:pPr>
        <w:rPr>
          <w:b/>
          <w:color w:val="002060"/>
        </w:rPr>
      </w:pPr>
      <w:r w:rsidRPr="00174906">
        <w:rPr>
          <w:b/>
          <w:color w:val="002060"/>
        </w:rPr>
        <w:t xml:space="preserve">Planning </w:t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Learning objectives are routinely modified and at an appropriate pitch to take account of prior attainment and current levels of attainment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Groupings are varied and considered to draw on and value each pupil’s strengths and skills</w:t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Opportunities to plan and link learning opportunities to real life experiences and pupil interests are maximised to support engagement.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The classroom organised so that all pupils can see and hear the teacher or other key resources used e.g. seating carefully planned, sunlight not reflecting on IWB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Role of teaching assistants is clearly defined, supported and supervised so they are able to promote independence and avoid learned helplessness.</w:t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 xml:space="preserve">ICT is used well to support access for all learners </w:t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Consideration given to best seating arrangements taking into account attention difficulties and sensory sensitivities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Classroom environment is a stimulating and exciting place to be in, with displays that are interactive and encourage questioning. The environment encourages participation, sense of ownership and shared responsibilities</w:t>
      </w:r>
    </w:p>
    <w:p w:rsidR="00174906" w:rsidRPr="00FF3726" w:rsidRDefault="00174906" w:rsidP="0017490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F3726">
        <w:rPr>
          <w:sz w:val="20"/>
          <w:szCs w:val="20"/>
        </w:rPr>
        <w:t>Learning environment encourages pupils to be resourceful and self-sufficient in seeking to overcome problems and find solutions.</w:t>
      </w:r>
      <w:r w:rsidRPr="00FF3726">
        <w:rPr>
          <w:sz w:val="20"/>
          <w:szCs w:val="20"/>
        </w:rPr>
        <w:tab/>
      </w:r>
    </w:p>
    <w:p w:rsidR="00174906" w:rsidRPr="00174906" w:rsidRDefault="00174906" w:rsidP="00174906">
      <w:pPr>
        <w:rPr>
          <w:b/>
          <w:color w:val="002060"/>
          <w:sz w:val="20"/>
          <w:szCs w:val="20"/>
        </w:rPr>
      </w:pPr>
      <w:r w:rsidRPr="00174906">
        <w:rPr>
          <w:b/>
          <w:color w:val="002060"/>
          <w:sz w:val="20"/>
          <w:szCs w:val="20"/>
        </w:rPr>
        <w:t>Teaching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 xml:space="preserve">Teaching styles and approaches are mixed with opportunities for active and collaborative learning. 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A range of questioning techniques are used to test and embed understanding or prompt deeper thinking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Language used in questioning is modified to provide appropriate challenge to learners at all ability levels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 xml:space="preserve">Time and support is given to allow pupils to process questions and compose responses, including prompting thinking and offering alternatives choices. 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Adults in the classroom model the behaviours that are focused on in the classroom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Climate for learning makes pupils feel welcome and safe giving pupils the confidence to speak up and express their view and ask their own questions.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lastRenderedPageBreak/>
        <w:t>Teacher skilled in intervening early to redirect focus and address potential low level disruption, avoiding interruption to whole class learning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Pupils are asked to explain instructions in their own words to check understanding and expectations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Understanding of abstract concepts is supported by concrete and practical tasks.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There is regular use of visual aids, concrete apparatus and objects to support engagement and understanding regardless of age.</w:t>
      </w:r>
      <w:r w:rsidRPr="00FF3726">
        <w:rPr>
          <w:sz w:val="20"/>
          <w:szCs w:val="20"/>
        </w:rPr>
        <w:tab/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Tasks are broken down into manageable chunks for groups of learners as appropriate?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New or difficult vocabulary is clarified and revisited and displayed on learning walls with visual prompts or supported through pre and/or post tutoring.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The teacher works directly with all groups in the class.</w:t>
      </w:r>
    </w:p>
    <w:p w:rsidR="00174906" w:rsidRPr="00FF3726" w:rsidRDefault="00174906" w:rsidP="0017490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F3726">
        <w:rPr>
          <w:sz w:val="20"/>
          <w:szCs w:val="20"/>
        </w:rPr>
        <w:t>A range of scaffolding tools are used to support learning such as writing frames, word banks and clue cards</w:t>
      </w:r>
    </w:p>
    <w:p w:rsidR="00174906" w:rsidRDefault="00174906" w:rsidP="00174906">
      <w:pPr>
        <w:rPr>
          <w:b/>
          <w:color w:val="00209F" w:themeColor="text2"/>
        </w:rPr>
      </w:pPr>
      <w:r>
        <w:rPr>
          <w:b/>
          <w:color w:val="00209F" w:themeColor="text2"/>
        </w:rPr>
        <w:t>Feedback</w:t>
      </w:r>
    </w:p>
    <w:p w:rsidR="00174906" w:rsidRDefault="00174906" w:rsidP="001749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3726">
        <w:rPr>
          <w:sz w:val="20"/>
          <w:szCs w:val="20"/>
        </w:rPr>
        <w:t>Recap and links to other areas of learning are made to focus pupils on todays’ learning within a wider context</w:t>
      </w:r>
    </w:p>
    <w:p w:rsidR="00174906" w:rsidRDefault="00174906" w:rsidP="001749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3726">
        <w:rPr>
          <w:sz w:val="20"/>
          <w:szCs w:val="20"/>
        </w:rPr>
        <w:t>Individual and group achievements in terms of learning and behaviour are acknowledged throughout the lesson</w:t>
      </w:r>
    </w:p>
    <w:p w:rsidR="00174906" w:rsidRPr="00FF3726" w:rsidRDefault="00174906" w:rsidP="001749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3726">
        <w:rPr>
          <w:sz w:val="20"/>
          <w:szCs w:val="20"/>
        </w:rPr>
        <w:t>Teacher and support staff comments are framed in positive language, reinforcing the skills and attributes demonstrated through the learning process</w:t>
      </w:r>
    </w:p>
    <w:p w:rsidR="00174906" w:rsidRPr="00FF3726" w:rsidRDefault="00174906" w:rsidP="00174906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F3726">
        <w:rPr>
          <w:sz w:val="20"/>
          <w:szCs w:val="20"/>
        </w:rPr>
        <w:t>Teachers and support staff intervene as appropriate through activities to challenge and redirect thinking to support understanding and consolidation of learning</w:t>
      </w:r>
    </w:p>
    <w:p w:rsidR="00174906" w:rsidRPr="00FF3726" w:rsidRDefault="00174906" w:rsidP="00174906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The plenary activity values and includes the achievements of all pupils</w:t>
      </w:r>
    </w:p>
    <w:p w:rsidR="00174906" w:rsidRPr="000726B5" w:rsidRDefault="00174906" w:rsidP="00174906">
      <w:pPr>
        <w:jc w:val="center"/>
        <w:rPr>
          <w:b/>
          <w:color w:val="00209F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4"/>
        <w:gridCol w:w="5094"/>
      </w:tblGrid>
      <w:tr w:rsidR="00174906" w:rsidTr="00DB528E">
        <w:tc>
          <w:tcPr>
            <w:tcW w:w="9889" w:type="dxa"/>
          </w:tcPr>
          <w:p w:rsidR="00174906" w:rsidRDefault="00174906" w:rsidP="00DB528E">
            <w:r>
              <w:t>Observations</w:t>
            </w:r>
          </w:p>
        </w:tc>
        <w:tc>
          <w:tcPr>
            <w:tcW w:w="5670" w:type="dxa"/>
          </w:tcPr>
          <w:p w:rsidR="00174906" w:rsidRDefault="00174906" w:rsidP="00DB528E">
            <w:r>
              <w:t>Evidence</w:t>
            </w:r>
          </w:p>
        </w:tc>
      </w:tr>
      <w:tr w:rsidR="00174906" w:rsidTr="00DB528E">
        <w:tc>
          <w:tcPr>
            <w:tcW w:w="15559" w:type="dxa"/>
            <w:gridSpan w:val="2"/>
            <w:shd w:val="clear" w:color="auto" w:fill="728EFF" w:themeFill="text2" w:themeFillTint="66"/>
          </w:tcPr>
          <w:p w:rsidR="00174906" w:rsidRDefault="00174906" w:rsidP="00DB528E">
            <w:r>
              <w:t>Planning</w:t>
            </w:r>
          </w:p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Learning objectives are routinely modified  and at an appropriate pitch to take account of prior attainment and current levels of attainment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Groupings are varied and considered to draw on and value each pupil’s strengths and skills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lastRenderedPageBreak/>
              <w:t>Opportunities to plan and link learning opportunities to real life experiences and pupil interests are maximised to support engagement.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The classroom organised so that all pupils can see and hear the teacher or other key resources used e.g. seating carefully planned, sunlight not reflecting on IWB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Role of teaching assistants is clearly defined, supported and supervised so they are able to promote independence and avoid learned helplessness.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 xml:space="preserve">ICT is used well to support access for all learners 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Consideration given to best seating arrangements taking into account attention difficulties and sensory sensitivities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 xml:space="preserve">Classroom environment is a stimulating and exciting place to be in, with displays that are interactive and encourage questioning. The environment encourages participation, sense of </w:t>
            </w:r>
          </w:p>
          <w:p w:rsidR="00174906" w:rsidRDefault="00174906" w:rsidP="00DB528E">
            <w:r>
              <w:t xml:space="preserve">ownership and shared responsibilities. 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Learning environment encourages pupils to be resourceful and self-sufficient in seeking to overcome problems and find solutions.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15559" w:type="dxa"/>
            <w:gridSpan w:val="2"/>
            <w:shd w:val="clear" w:color="auto" w:fill="728EFF" w:themeFill="text2" w:themeFillTint="66"/>
          </w:tcPr>
          <w:p w:rsidR="00174906" w:rsidRDefault="00174906" w:rsidP="00DB528E">
            <w:r>
              <w:t>Teaching</w:t>
            </w:r>
          </w:p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 xml:space="preserve">Teaching styles and approaches are mixed with opportunities for active and collaborative learning. 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rPr>
          <w:trHeight w:val="659"/>
        </w:trPr>
        <w:tc>
          <w:tcPr>
            <w:tcW w:w="9889" w:type="dxa"/>
          </w:tcPr>
          <w:p w:rsidR="00174906" w:rsidRDefault="00174906" w:rsidP="00DB528E">
            <w:r>
              <w:lastRenderedPageBreak/>
              <w:t>A range of questioning techniques are used to test and embed understanding or  prompt deeper thinking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rPr>
          <w:trHeight w:val="659"/>
        </w:trPr>
        <w:tc>
          <w:tcPr>
            <w:tcW w:w="9889" w:type="dxa"/>
          </w:tcPr>
          <w:p w:rsidR="00174906" w:rsidRDefault="00174906" w:rsidP="00DB528E">
            <w:r>
              <w:t>Language used in questioning is modified to provide appropriate challenge to learners at all ability levels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 xml:space="preserve">Time and support is given to allow pupils to process questions and compose responses, including prompting thinking and offering alternatives choices. 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B71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Adults in the class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room model the behaviours that </w:t>
            </w:r>
            <w:r w:rsidRPr="003B713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are focused on in the classroom</w:t>
            </w:r>
          </w:p>
          <w:p w:rsidR="00174906" w:rsidRPr="003B7130" w:rsidRDefault="00174906" w:rsidP="00DB528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Climate for learning makes pupils feel welcome and safe giving pupils the confidence to speak up and express their view and ask their own questions.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Teacher skilled in intervening early to redirect focus and address potential low level disruption, avoiding interruption to whole class learning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Pupils are asked to explain instructions in their own words to check understanding and expectations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Understanding of abstract concepts is supported by concrete and practical tasks.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There is regular use of visual aids, concrete apparatus and objects to support engagement and understanding regardless of age.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Tasks are broken down into manageable chunks for groups of learners as appropriate?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lastRenderedPageBreak/>
              <w:t>New or difficult vocabulary is clarified and revisited and displayed on learning walls with visual prompts or supported through pre and/or post tutoring.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The teacher works directly with all groups in the class.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A range of scaffolding tools are used to support learning such as writing frames, word banks and clue cards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15559" w:type="dxa"/>
            <w:gridSpan w:val="2"/>
            <w:shd w:val="clear" w:color="auto" w:fill="728EFF" w:themeFill="text2" w:themeFillTint="66"/>
          </w:tcPr>
          <w:p w:rsidR="00174906" w:rsidRDefault="00174906" w:rsidP="00DB528E">
            <w:r>
              <w:t>Feedback</w:t>
            </w:r>
          </w:p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Recap and links to other areas of learning are made to focus pupils on todays’ learning within a wider context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Individual and group achievements in terms of learning and behaviour are acknowledged throughout the lesson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Teacher and support staff  comments are framed in positive language, reinforcing the skills and attributes demonstrated through the learning process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>Teachers and support staff intervene as appropriate through activities to challenge and redirect thinking to support understanding and consolidation of learning</w:t>
            </w:r>
          </w:p>
        </w:tc>
        <w:tc>
          <w:tcPr>
            <w:tcW w:w="5670" w:type="dxa"/>
          </w:tcPr>
          <w:p w:rsidR="00174906" w:rsidRDefault="00174906" w:rsidP="00DB528E"/>
        </w:tc>
      </w:tr>
      <w:tr w:rsidR="00174906" w:rsidTr="00DB528E">
        <w:tc>
          <w:tcPr>
            <w:tcW w:w="9889" w:type="dxa"/>
          </w:tcPr>
          <w:p w:rsidR="00174906" w:rsidRDefault="00174906" w:rsidP="00DB528E">
            <w:r>
              <w:t xml:space="preserve">The plenary activities values and includes the achievements of all pupils. </w:t>
            </w:r>
          </w:p>
          <w:p w:rsidR="00174906" w:rsidRDefault="00174906" w:rsidP="00DB528E"/>
        </w:tc>
        <w:tc>
          <w:tcPr>
            <w:tcW w:w="5670" w:type="dxa"/>
          </w:tcPr>
          <w:p w:rsidR="00174906" w:rsidRDefault="00174906" w:rsidP="00DB528E"/>
        </w:tc>
      </w:tr>
    </w:tbl>
    <w:p w:rsidR="00174906" w:rsidRDefault="00174906"/>
    <w:sectPr w:rsidR="00174906" w:rsidSect="001749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2C4B"/>
    <w:multiLevelType w:val="hybridMultilevel"/>
    <w:tmpl w:val="A6AA3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06161"/>
    <w:multiLevelType w:val="hybridMultilevel"/>
    <w:tmpl w:val="6D48D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07E82"/>
    <w:multiLevelType w:val="hybridMultilevel"/>
    <w:tmpl w:val="133C4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06"/>
    <w:rsid w:val="00174906"/>
    <w:rsid w:val="0018080B"/>
    <w:rsid w:val="00290A0A"/>
    <w:rsid w:val="008770EC"/>
    <w:rsid w:val="008E51F2"/>
    <w:rsid w:val="009259EA"/>
    <w:rsid w:val="009E2B02"/>
    <w:rsid w:val="00DE366D"/>
    <w:rsid w:val="00E5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858A7-75E8-44B4-8990-C18026F7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9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906"/>
  </w:style>
  <w:style w:type="table" w:styleId="TableGrid">
    <w:name w:val="Table Grid"/>
    <w:basedOn w:val="TableNormal"/>
    <w:uiPriority w:val="59"/>
    <w:rsid w:val="0017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.B.K.C. Corporat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Jones, Karen: CS-Fin: RBKC</dc:creator>
  <cp:keywords/>
  <dc:description/>
  <cp:lastModifiedBy>Jones, Karen: CS-Fin: RBKC</cp:lastModifiedBy>
  <cp:revision>2</cp:revision>
  <dcterms:created xsi:type="dcterms:W3CDTF">2017-08-22T10:01:00Z</dcterms:created>
  <dcterms:modified xsi:type="dcterms:W3CDTF">2017-08-22T10:01:00Z</dcterms:modified>
</cp:coreProperties>
</file>