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E1" w:rsidRDefault="00BA41E1" w:rsidP="00A32BD3">
      <w:pPr>
        <w:jc w:val="center"/>
        <w:rPr>
          <w:rFonts w:ascii="Arial" w:hAnsi="Arial"/>
          <w:b/>
        </w:rPr>
      </w:pPr>
      <w:r>
        <w:rPr>
          <w:rFonts w:ascii="Arial" w:hAnsi="Arial"/>
          <w:b/>
        </w:rPr>
        <w:t>ROYAL BOROUGH OF KENSINGTON AND CHELSEA</w:t>
      </w:r>
    </w:p>
    <w:p w:rsidR="00BA41E1" w:rsidRDefault="00BA41E1" w:rsidP="00A32BD3">
      <w:pPr>
        <w:jc w:val="center"/>
        <w:rPr>
          <w:rFonts w:ascii="Arial" w:hAnsi="Arial"/>
          <w:b/>
        </w:rPr>
      </w:pPr>
    </w:p>
    <w:p w:rsidR="00C13B2D" w:rsidRPr="00A32BD3" w:rsidRDefault="00042C7C" w:rsidP="00A32BD3">
      <w:pPr>
        <w:jc w:val="center"/>
        <w:rPr>
          <w:rFonts w:ascii="Arial" w:hAnsi="Arial"/>
          <w:b/>
        </w:rPr>
      </w:pPr>
      <w:r>
        <w:rPr>
          <w:rFonts w:ascii="Arial" w:hAnsi="Arial"/>
          <w:b/>
        </w:rPr>
        <w:t>Design and Access Statement - r</w:t>
      </w:r>
      <w:r w:rsidR="00A32BD3" w:rsidRPr="00A32BD3">
        <w:rPr>
          <w:rFonts w:ascii="Arial" w:hAnsi="Arial"/>
          <w:b/>
        </w:rPr>
        <w:t>esidential template</w:t>
      </w:r>
    </w:p>
    <w:p w:rsidR="00C13B2D" w:rsidRPr="00A32BD3" w:rsidRDefault="00C13B2D" w:rsidP="00C13B2D">
      <w:pPr>
        <w:rPr>
          <w:rFonts w:ascii="Arial" w:hAnsi="Arial"/>
        </w:rPr>
      </w:pPr>
    </w:p>
    <w:p w:rsidR="00C13B2D" w:rsidRPr="00A32BD3" w:rsidRDefault="00042C7C" w:rsidP="00C13B2D">
      <w:pPr>
        <w:rPr>
          <w:rFonts w:ascii="Arial" w:hAnsi="Arial"/>
        </w:rPr>
      </w:pPr>
      <w:proofErr w:type="gramStart"/>
      <w:r>
        <w:rPr>
          <w:rFonts w:ascii="Arial" w:hAnsi="Arial"/>
        </w:rPr>
        <w:t xml:space="preserve">Two sections to </w:t>
      </w:r>
      <w:r w:rsidR="00C13B2D" w:rsidRPr="00A32BD3">
        <w:rPr>
          <w:rFonts w:ascii="Arial" w:hAnsi="Arial"/>
        </w:rPr>
        <w:t>complete where relevant to meet Policy CH2</w:t>
      </w:r>
      <w:r w:rsidR="00FC7858">
        <w:rPr>
          <w:rFonts w:ascii="Arial" w:hAnsi="Arial"/>
        </w:rPr>
        <w:t xml:space="preserve"> and the aims of the London Plan.</w:t>
      </w:r>
      <w:proofErr w:type="gramEnd"/>
    </w:p>
    <w:p w:rsidR="00C13B2D" w:rsidRPr="00A32BD3" w:rsidRDefault="00C13B2D" w:rsidP="00C13B2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13B2D" w:rsidRPr="00A32BD3" w:rsidTr="00C13B2D">
        <w:tc>
          <w:tcPr>
            <w:tcW w:w="8522" w:type="dxa"/>
          </w:tcPr>
          <w:p w:rsidR="00C13B2D" w:rsidRPr="00A32BD3" w:rsidRDefault="00C13B2D" w:rsidP="00C13B2D">
            <w:pPr>
              <w:autoSpaceDE w:val="0"/>
              <w:autoSpaceDN w:val="0"/>
              <w:adjustRightInd w:val="0"/>
              <w:rPr>
                <w:rFonts w:cs="Arial"/>
                <w:b/>
                <w:bCs/>
                <w:color w:val="110B8A"/>
              </w:rPr>
            </w:pPr>
          </w:p>
          <w:p w:rsidR="00C13B2D" w:rsidRPr="00A32BD3" w:rsidRDefault="00C13B2D" w:rsidP="00C13B2D">
            <w:pPr>
              <w:autoSpaceDE w:val="0"/>
              <w:autoSpaceDN w:val="0"/>
              <w:adjustRightInd w:val="0"/>
              <w:rPr>
                <w:rFonts w:cs="Arial"/>
                <w:b/>
                <w:bCs/>
                <w:color w:val="110B8A"/>
              </w:rPr>
            </w:pPr>
            <w:r w:rsidRPr="00A32BD3">
              <w:rPr>
                <w:rFonts w:cs="Arial"/>
                <w:b/>
                <w:bCs/>
                <w:color w:val="110B8A"/>
              </w:rPr>
              <w:t>Policy CH 2</w:t>
            </w:r>
          </w:p>
          <w:p w:rsidR="00C13B2D" w:rsidRPr="00A32BD3" w:rsidRDefault="00C13B2D" w:rsidP="00C13B2D">
            <w:pPr>
              <w:autoSpaceDE w:val="0"/>
              <w:autoSpaceDN w:val="0"/>
              <w:adjustRightInd w:val="0"/>
              <w:rPr>
                <w:rFonts w:ascii="Arial" w:hAnsi="Arial" w:cs="Arial"/>
                <w:b/>
                <w:bCs/>
                <w:color w:val="000000"/>
              </w:rPr>
            </w:pPr>
            <w:r w:rsidRPr="00A32BD3">
              <w:rPr>
                <w:rFonts w:ascii="Arial" w:hAnsi="Arial" w:cs="Arial"/>
                <w:b/>
                <w:bCs/>
                <w:color w:val="000000"/>
              </w:rPr>
              <w:t>Housing Diversity</w:t>
            </w:r>
          </w:p>
          <w:p w:rsidR="00C13B2D" w:rsidRPr="00A32BD3" w:rsidRDefault="00C13B2D" w:rsidP="00C13B2D">
            <w:pPr>
              <w:autoSpaceDE w:val="0"/>
              <w:autoSpaceDN w:val="0"/>
              <w:adjustRightInd w:val="0"/>
              <w:rPr>
                <w:rFonts w:ascii="Arial" w:hAnsi="Arial" w:cs="Arial"/>
                <w:color w:val="000000"/>
              </w:rPr>
            </w:pPr>
            <w:r w:rsidRPr="00A32BD3">
              <w:rPr>
                <w:rFonts w:ascii="Arial" w:hAnsi="Arial" w:cs="Arial"/>
                <w:color w:val="000000"/>
              </w:rPr>
              <w:t>The Council will ensure new housing development is provided so as to further refine the grain of the mix of housing across the Borough.</w:t>
            </w:r>
          </w:p>
          <w:p w:rsidR="00C13B2D" w:rsidRPr="00A32BD3" w:rsidRDefault="00C13B2D" w:rsidP="00C13B2D">
            <w:pPr>
              <w:autoSpaceDE w:val="0"/>
              <w:autoSpaceDN w:val="0"/>
              <w:adjustRightInd w:val="0"/>
              <w:rPr>
                <w:rFonts w:ascii="Arial" w:hAnsi="Arial" w:cs="Arial"/>
                <w:color w:val="000000"/>
              </w:rPr>
            </w:pPr>
            <w:r w:rsidRPr="00A32BD3">
              <w:rPr>
                <w:rFonts w:ascii="Arial" w:hAnsi="Arial" w:cs="Arial"/>
                <w:color w:val="000000"/>
              </w:rPr>
              <w:t>To deliver this the Council will, in relation to:</w:t>
            </w:r>
          </w:p>
          <w:p w:rsidR="00C13B2D" w:rsidRPr="00A32BD3" w:rsidRDefault="00C13B2D" w:rsidP="00C13B2D">
            <w:pPr>
              <w:autoSpaceDE w:val="0"/>
              <w:autoSpaceDN w:val="0"/>
              <w:adjustRightInd w:val="0"/>
              <w:rPr>
                <w:rFonts w:ascii="Arial" w:hAnsi="Arial" w:cs="Arial"/>
                <w:b/>
                <w:bCs/>
                <w:i/>
                <w:iCs/>
                <w:color w:val="000000"/>
              </w:rPr>
            </w:pPr>
            <w:r w:rsidRPr="00A32BD3">
              <w:rPr>
                <w:rFonts w:ascii="Arial" w:hAnsi="Arial" w:cs="Arial"/>
                <w:b/>
                <w:bCs/>
                <w:i/>
                <w:iCs/>
                <w:color w:val="000000"/>
              </w:rPr>
              <w:t>Housing Mix and Type</w:t>
            </w:r>
          </w:p>
          <w:p w:rsidR="00C13B2D" w:rsidRPr="00A32BD3" w:rsidRDefault="00C13B2D" w:rsidP="00C13B2D">
            <w:pPr>
              <w:autoSpaceDE w:val="0"/>
              <w:autoSpaceDN w:val="0"/>
              <w:adjustRightInd w:val="0"/>
              <w:rPr>
                <w:rFonts w:ascii="Arial" w:hAnsi="Arial" w:cs="Arial"/>
                <w:color w:val="000000"/>
              </w:rPr>
            </w:pPr>
            <w:r w:rsidRPr="00A32BD3">
              <w:rPr>
                <w:rFonts w:ascii="Arial" w:hAnsi="Arial" w:cs="Arial"/>
                <w:color w:val="000000"/>
              </w:rPr>
              <w:t>a. require new residential developments to include a mix of types, tenures and sizes of homes to reflect the varying needs of the Borough, taking into account the characteristics of the site, and current evidence in relation to housing need;</w:t>
            </w:r>
          </w:p>
          <w:p w:rsidR="00C13B2D" w:rsidRPr="00A32BD3" w:rsidRDefault="00C13B2D" w:rsidP="00C13B2D">
            <w:pPr>
              <w:autoSpaceDE w:val="0"/>
              <w:autoSpaceDN w:val="0"/>
              <w:adjustRightInd w:val="0"/>
              <w:rPr>
                <w:rFonts w:ascii="Arial" w:hAnsi="Arial" w:cs="Arial"/>
                <w:color w:val="000000"/>
                <w:u w:val="single"/>
              </w:rPr>
            </w:pPr>
            <w:r w:rsidRPr="00A32BD3">
              <w:rPr>
                <w:rFonts w:ascii="Arial" w:hAnsi="Arial" w:cs="Arial"/>
                <w:color w:val="000000"/>
                <w:u w:val="single"/>
              </w:rPr>
              <w:t xml:space="preserve">b. require new residential developments, including conversions, amalgamations and changes of use, to be designed to </w:t>
            </w:r>
            <w:r w:rsidR="002C6201">
              <w:rPr>
                <w:rFonts w:ascii="Arial" w:hAnsi="Arial" w:cs="Arial"/>
                <w:color w:val="000000"/>
                <w:u w:val="single"/>
              </w:rPr>
              <w:t>as a minimum achieve</w:t>
            </w:r>
            <w:r w:rsidRPr="00A32BD3">
              <w:rPr>
                <w:rFonts w:ascii="Arial" w:hAnsi="Arial" w:cs="Arial"/>
                <w:color w:val="000000"/>
                <w:u w:val="single"/>
              </w:rPr>
              <w:t xml:space="preserve"> all the following standards:</w:t>
            </w:r>
          </w:p>
          <w:p w:rsidR="00C13B2D" w:rsidRPr="00A32BD3" w:rsidRDefault="00C13B2D" w:rsidP="00C13B2D">
            <w:pPr>
              <w:autoSpaceDE w:val="0"/>
              <w:autoSpaceDN w:val="0"/>
              <w:adjustRightInd w:val="0"/>
              <w:rPr>
                <w:rFonts w:ascii="Arial" w:hAnsi="Arial" w:cs="Arial"/>
                <w:color w:val="000000"/>
                <w:u w:val="single"/>
              </w:rPr>
            </w:pPr>
            <w:proofErr w:type="spellStart"/>
            <w:r w:rsidRPr="00A32BD3">
              <w:rPr>
                <w:rFonts w:ascii="Arial" w:hAnsi="Arial" w:cs="Arial"/>
                <w:color w:val="000000"/>
                <w:u w:val="single"/>
              </w:rPr>
              <w:t>i</w:t>
            </w:r>
            <w:proofErr w:type="spellEnd"/>
            <w:r w:rsidRPr="00A32BD3">
              <w:rPr>
                <w:rFonts w:ascii="Arial" w:hAnsi="Arial" w:cs="Arial"/>
                <w:color w:val="000000"/>
                <w:u w:val="single"/>
              </w:rPr>
              <w:t>. lifetime homes;</w:t>
            </w:r>
          </w:p>
          <w:p w:rsidR="00C13B2D" w:rsidRPr="00A32BD3" w:rsidRDefault="00C13B2D" w:rsidP="00C13B2D">
            <w:pPr>
              <w:autoSpaceDE w:val="0"/>
              <w:autoSpaceDN w:val="0"/>
              <w:adjustRightInd w:val="0"/>
              <w:rPr>
                <w:rFonts w:ascii="Arial" w:hAnsi="Arial" w:cs="Arial"/>
                <w:color w:val="000000"/>
              </w:rPr>
            </w:pPr>
            <w:r w:rsidRPr="00A32BD3">
              <w:rPr>
                <w:rFonts w:ascii="Arial" w:hAnsi="Arial" w:cs="Arial"/>
                <w:color w:val="000000"/>
              </w:rPr>
              <w:t xml:space="preserve">ii. </w:t>
            </w:r>
            <w:proofErr w:type="spellStart"/>
            <w:r w:rsidRPr="00A32BD3">
              <w:rPr>
                <w:rFonts w:ascii="Arial" w:hAnsi="Arial" w:cs="Arial"/>
                <w:color w:val="000000"/>
                <w:u w:val="single"/>
              </w:rPr>
              <w:t>floorspace</w:t>
            </w:r>
            <w:proofErr w:type="spellEnd"/>
            <w:r w:rsidRPr="00A32BD3">
              <w:rPr>
                <w:rFonts w:ascii="Arial" w:hAnsi="Arial" w:cs="Arial"/>
                <w:color w:val="000000"/>
              </w:rPr>
              <w:t xml:space="preserve"> and floor to ceiling heights;</w:t>
            </w:r>
          </w:p>
          <w:p w:rsidR="00C13B2D" w:rsidRPr="00A32BD3" w:rsidRDefault="00C13B2D" w:rsidP="0085610D">
            <w:pPr>
              <w:rPr>
                <w:rFonts w:ascii="Arial" w:hAnsi="Arial" w:cs="Arial"/>
                <w:color w:val="000000"/>
                <w:u w:val="single"/>
              </w:rPr>
            </w:pPr>
            <w:r w:rsidRPr="00A32BD3">
              <w:rPr>
                <w:rFonts w:ascii="Arial" w:hAnsi="Arial" w:cs="Arial"/>
                <w:color w:val="000000"/>
                <w:u w:val="single"/>
              </w:rPr>
              <w:t>iii. wheelchair accessibility for a minimum of 10% of dwellings;</w:t>
            </w:r>
          </w:p>
          <w:p w:rsidR="00C13B2D" w:rsidRPr="00A32BD3" w:rsidRDefault="00C13B2D" w:rsidP="0085610D">
            <w:pPr>
              <w:rPr>
                <w:rFonts w:ascii="Arial" w:hAnsi="Arial" w:cs="Arial"/>
              </w:rPr>
            </w:pPr>
            <w:r w:rsidRPr="00A32BD3">
              <w:rPr>
                <w:rFonts w:ascii="Arial" w:hAnsi="Arial" w:cs="Arial"/>
              </w:rPr>
              <w:t xml:space="preserve"> </w:t>
            </w:r>
          </w:p>
        </w:tc>
      </w:tr>
    </w:tbl>
    <w:p w:rsidR="00C13B2D" w:rsidRPr="00A32BD3" w:rsidRDefault="00C13B2D" w:rsidP="00C13B2D">
      <w:pPr>
        <w:rPr>
          <w:rFonts w:ascii="Arial" w:hAnsi="Arial"/>
        </w:rPr>
      </w:pPr>
    </w:p>
    <w:p w:rsidR="00C13B2D" w:rsidRPr="00A32BD3" w:rsidRDefault="00C13B2D" w:rsidP="00C13B2D">
      <w:pPr>
        <w:rPr>
          <w:rFonts w:ascii="Arial" w:hAnsi="Arial" w:cs="Arial"/>
          <w:b/>
        </w:rPr>
      </w:pPr>
      <w:r w:rsidRPr="00A32BD3">
        <w:rPr>
          <w:rFonts w:ascii="Arial" w:hAnsi="Arial" w:cs="Arial"/>
          <w:b/>
        </w:rPr>
        <w:t xml:space="preserve">Section 1 – Lifetime Homes Standards as stated in </w:t>
      </w:r>
      <w:r w:rsidR="00A32BD3">
        <w:rPr>
          <w:rFonts w:ascii="Arial" w:hAnsi="Arial" w:cs="Arial"/>
          <w:b/>
        </w:rPr>
        <w:t xml:space="preserve">the </w:t>
      </w:r>
      <w:r w:rsidRPr="00A32BD3">
        <w:rPr>
          <w:rFonts w:ascii="Arial" w:hAnsi="Arial" w:cs="Arial"/>
          <w:b/>
        </w:rPr>
        <w:t>Access Design Guide SPD</w:t>
      </w:r>
      <w:r w:rsidR="00B118F8">
        <w:rPr>
          <w:rFonts w:ascii="Arial" w:hAnsi="Arial" w:cs="Arial"/>
          <w:b/>
        </w:rPr>
        <w:t xml:space="preserve"> (adopted December 2010)</w:t>
      </w:r>
      <w:r w:rsidRPr="00A32BD3">
        <w:rPr>
          <w:rFonts w:ascii="Arial" w:hAnsi="Arial" w:cs="Arial"/>
          <w:b/>
        </w:rPr>
        <w:t>:</w:t>
      </w:r>
    </w:p>
    <w:p w:rsidR="00C13B2D" w:rsidRPr="00A32BD3" w:rsidRDefault="00C13B2D" w:rsidP="00C13B2D">
      <w:pPr>
        <w:rPr>
          <w:rFonts w:ascii="Arial" w:hAnsi="Arial" w:cs="Arial"/>
        </w:rPr>
      </w:pPr>
    </w:p>
    <w:p w:rsidR="00C13B2D" w:rsidRPr="00A32BD3" w:rsidRDefault="00C13B2D" w:rsidP="00C13B2D">
      <w:pPr>
        <w:rPr>
          <w:rFonts w:ascii="Arial" w:hAnsi="Arial" w:cs="Arial"/>
        </w:rPr>
      </w:pPr>
      <w:r w:rsidRPr="00A32BD3">
        <w:rPr>
          <w:rFonts w:ascii="Arial" w:hAnsi="Arial" w:cs="Arial"/>
        </w:rPr>
        <w:t xml:space="preserve">NB: If multiple units with different </w:t>
      </w:r>
      <w:proofErr w:type="gramStart"/>
      <w:r w:rsidRPr="00A32BD3">
        <w:rPr>
          <w:rFonts w:ascii="Arial" w:hAnsi="Arial" w:cs="Arial"/>
        </w:rPr>
        <w:t>specifications,</w:t>
      </w:r>
      <w:proofErr w:type="gramEnd"/>
      <w:r w:rsidRPr="00A32BD3">
        <w:rPr>
          <w:rFonts w:ascii="Arial" w:hAnsi="Arial" w:cs="Arial"/>
        </w:rPr>
        <w:t xml:space="preserve"> please complete appropriate multiple copies.</w:t>
      </w:r>
    </w:p>
    <w:p w:rsidR="00C13B2D" w:rsidRPr="00A32BD3" w:rsidRDefault="00C13B2D" w:rsidP="00C13B2D">
      <w:pPr>
        <w:autoSpaceDE w:val="0"/>
        <w:autoSpaceDN w:val="0"/>
        <w:adjustRightInd w:val="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620"/>
        <w:gridCol w:w="1260"/>
      </w:tblGrid>
      <w:tr w:rsidR="00C13B2D" w:rsidRPr="00A32BD3" w:rsidTr="00C13B2D">
        <w:tc>
          <w:tcPr>
            <w:tcW w:w="6228" w:type="dxa"/>
          </w:tcPr>
          <w:p w:rsidR="00C13B2D" w:rsidRPr="00A32BD3" w:rsidRDefault="00C13B2D" w:rsidP="00042C7C">
            <w:pPr>
              <w:autoSpaceDE w:val="0"/>
              <w:autoSpaceDN w:val="0"/>
              <w:adjustRightInd w:val="0"/>
              <w:rPr>
                <w:rFonts w:ascii="Arial" w:hAnsi="Arial" w:cs="Arial"/>
                <w:b/>
              </w:rPr>
            </w:pPr>
            <w:r w:rsidRPr="00A32BD3">
              <w:rPr>
                <w:rFonts w:ascii="Arial" w:hAnsi="Arial" w:cs="Arial"/>
                <w:b/>
              </w:rPr>
              <w:t>Standard</w:t>
            </w:r>
            <w:r w:rsidR="00D258FA" w:rsidRPr="00A32BD3">
              <w:rPr>
                <w:rFonts w:ascii="Arial" w:hAnsi="Arial" w:cs="Arial"/>
                <w:b/>
              </w:rPr>
              <w:t xml:space="preserve"> – unit number </w:t>
            </w:r>
          </w:p>
        </w:tc>
        <w:tc>
          <w:tcPr>
            <w:tcW w:w="1620" w:type="dxa"/>
          </w:tcPr>
          <w:p w:rsidR="00C13B2D" w:rsidRPr="00A32BD3" w:rsidRDefault="00C13B2D" w:rsidP="00C13B2D">
            <w:pPr>
              <w:autoSpaceDE w:val="0"/>
              <w:autoSpaceDN w:val="0"/>
              <w:adjustRightInd w:val="0"/>
              <w:rPr>
                <w:rFonts w:ascii="Arial" w:hAnsi="Arial" w:cs="Arial"/>
                <w:b/>
              </w:rPr>
            </w:pPr>
            <w:r w:rsidRPr="00A32BD3">
              <w:rPr>
                <w:rFonts w:ascii="Arial" w:hAnsi="Arial" w:cs="Arial"/>
                <w:b/>
              </w:rPr>
              <w:t>Fully met</w:t>
            </w:r>
          </w:p>
        </w:tc>
        <w:tc>
          <w:tcPr>
            <w:tcW w:w="1260" w:type="dxa"/>
          </w:tcPr>
          <w:p w:rsidR="00C13B2D" w:rsidRPr="00A32BD3" w:rsidRDefault="00C13B2D" w:rsidP="00C13B2D">
            <w:pPr>
              <w:autoSpaceDE w:val="0"/>
              <w:autoSpaceDN w:val="0"/>
              <w:adjustRightInd w:val="0"/>
              <w:rPr>
                <w:rFonts w:ascii="Arial" w:hAnsi="Arial" w:cs="Arial"/>
                <w:b/>
              </w:rPr>
            </w:pPr>
            <w:r w:rsidRPr="00A32BD3">
              <w:rPr>
                <w:rFonts w:ascii="Arial" w:hAnsi="Arial" w:cs="Arial"/>
                <w:b/>
              </w:rPr>
              <w:t>Not met</w:t>
            </w: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 Car parking width</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2. Access from car parking</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3. Approach gradients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4. Entrances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5. Communal stairs and lifts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6. Doors and hallways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7. Wheelchair turning circles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8. Living room at entrance level</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 xml:space="preserve">9. Identified entrance level </w:t>
            </w:r>
            <w:proofErr w:type="spellStart"/>
            <w:r w:rsidRPr="00A32BD3">
              <w:rPr>
                <w:rFonts w:ascii="Arial" w:hAnsi="Arial" w:cs="Arial"/>
              </w:rPr>
              <w:t>bedspace</w:t>
            </w:r>
            <w:proofErr w:type="spellEnd"/>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10. Entrance level WC and shower drainage</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11. Bathroom and WC walls reinforced</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12. Stair lift and through floor lift</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13. Tracking hoist route</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14. Bathroom layout</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15. Window specification</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16. Controls, fixtures and fittings</w:t>
            </w: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proofErr w:type="spellStart"/>
            <w:r w:rsidRPr="00A32BD3">
              <w:rPr>
                <w:rFonts w:ascii="Arial" w:hAnsi="Arial" w:cs="Arial"/>
              </w:rPr>
              <w:lastRenderedPageBreak/>
              <w:t>Floorspace</w:t>
            </w:r>
            <w:proofErr w:type="spellEnd"/>
            <w:r w:rsidRPr="00A32BD3">
              <w:rPr>
                <w:rFonts w:ascii="Arial" w:hAnsi="Arial" w:cs="Arial"/>
              </w:rPr>
              <w:t xml:space="preserve"> standards </w:t>
            </w:r>
          </w:p>
        </w:tc>
        <w:tc>
          <w:tcPr>
            <w:tcW w:w="1620" w:type="dxa"/>
          </w:tcPr>
          <w:p w:rsidR="00C13B2D" w:rsidRPr="00A32BD3" w:rsidRDefault="009A1822" w:rsidP="00C13B2D">
            <w:pPr>
              <w:autoSpaceDE w:val="0"/>
              <w:autoSpaceDN w:val="0"/>
              <w:adjustRightInd w:val="0"/>
              <w:rPr>
                <w:rFonts w:ascii="Arial" w:hAnsi="Arial" w:cs="Arial"/>
              </w:rPr>
            </w:pPr>
            <w:r>
              <w:rPr>
                <w:rFonts w:ascii="Arial" w:hAnsi="Arial" w:cs="Arial"/>
              </w:rPr>
              <w:t xml:space="preserve">        </w:t>
            </w:r>
          </w:p>
        </w:tc>
        <w:tc>
          <w:tcPr>
            <w:tcW w:w="1260" w:type="dxa"/>
          </w:tcPr>
          <w:p w:rsidR="00C13B2D" w:rsidRPr="00A32BD3" w:rsidRDefault="00C13B2D" w:rsidP="00C13B2D">
            <w:pPr>
              <w:autoSpaceDE w:val="0"/>
              <w:autoSpaceDN w:val="0"/>
              <w:adjustRightInd w:val="0"/>
              <w:rPr>
                <w:rFonts w:ascii="Arial" w:hAnsi="Arial" w:cs="Arial"/>
              </w:rPr>
            </w:pPr>
          </w:p>
        </w:tc>
      </w:tr>
      <w:tr w:rsidR="00C13B2D" w:rsidRPr="00A32BD3" w:rsidTr="00C13B2D">
        <w:tc>
          <w:tcPr>
            <w:tcW w:w="6228" w:type="dxa"/>
          </w:tcPr>
          <w:p w:rsidR="00C13B2D" w:rsidRDefault="00C13B2D" w:rsidP="00C13B2D">
            <w:pPr>
              <w:autoSpaceDE w:val="0"/>
              <w:autoSpaceDN w:val="0"/>
              <w:adjustRightInd w:val="0"/>
              <w:rPr>
                <w:rFonts w:ascii="Arial" w:hAnsi="Arial" w:cs="Arial"/>
              </w:rPr>
            </w:pPr>
            <w:r w:rsidRPr="00A32BD3">
              <w:rPr>
                <w:rFonts w:ascii="Arial" w:hAnsi="Arial" w:cs="Arial"/>
              </w:rPr>
              <w:t>Where ‘not met’ give explanat</w:t>
            </w:r>
            <w:r w:rsidR="00B1732B">
              <w:rPr>
                <w:rFonts w:ascii="Arial" w:hAnsi="Arial" w:cs="Arial"/>
              </w:rPr>
              <w:t>ion……what compensatory measures.</w:t>
            </w:r>
          </w:p>
          <w:p w:rsidR="009A1822" w:rsidRDefault="009A1822" w:rsidP="00C13B2D">
            <w:pPr>
              <w:autoSpaceDE w:val="0"/>
              <w:autoSpaceDN w:val="0"/>
              <w:adjustRightInd w:val="0"/>
              <w:rPr>
                <w:rFonts w:ascii="Arial" w:hAnsi="Arial" w:cs="Arial"/>
              </w:rPr>
            </w:pPr>
          </w:p>
          <w:p w:rsidR="00C13B2D" w:rsidRPr="00A32BD3" w:rsidRDefault="00C13B2D" w:rsidP="008076B0">
            <w:pPr>
              <w:rPr>
                <w:rFonts w:ascii="Arial" w:hAnsi="Arial" w:cs="Arial"/>
              </w:rPr>
            </w:pPr>
          </w:p>
        </w:tc>
        <w:tc>
          <w:tcPr>
            <w:tcW w:w="1620" w:type="dxa"/>
          </w:tcPr>
          <w:p w:rsidR="00C13B2D" w:rsidRPr="00A32BD3" w:rsidRDefault="00C13B2D" w:rsidP="00C13B2D">
            <w:pPr>
              <w:autoSpaceDE w:val="0"/>
              <w:autoSpaceDN w:val="0"/>
              <w:adjustRightInd w:val="0"/>
              <w:rPr>
                <w:rFonts w:ascii="Arial" w:hAnsi="Arial" w:cs="Arial"/>
              </w:rPr>
            </w:pPr>
          </w:p>
        </w:tc>
        <w:tc>
          <w:tcPr>
            <w:tcW w:w="1260" w:type="dxa"/>
          </w:tcPr>
          <w:p w:rsidR="00C13B2D" w:rsidRPr="00A32BD3" w:rsidRDefault="00C13B2D" w:rsidP="00C13B2D">
            <w:pPr>
              <w:autoSpaceDE w:val="0"/>
              <w:autoSpaceDN w:val="0"/>
              <w:adjustRightInd w:val="0"/>
              <w:rPr>
                <w:rFonts w:ascii="Arial" w:hAnsi="Arial" w:cs="Arial"/>
              </w:rPr>
            </w:pPr>
          </w:p>
        </w:tc>
      </w:tr>
    </w:tbl>
    <w:p w:rsidR="00C13B2D" w:rsidRPr="00A32BD3" w:rsidRDefault="00C13B2D" w:rsidP="00C13B2D">
      <w:pPr>
        <w:autoSpaceDE w:val="0"/>
        <w:autoSpaceDN w:val="0"/>
        <w:adjustRightInd w:val="0"/>
        <w:rPr>
          <w:rFonts w:ascii="Arial" w:hAnsi="Arial" w:cs="Arial"/>
        </w:rPr>
      </w:pPr>
    </w:p>
    <w:p w:rsidR="00C13B2D" w:rsidRPr="00A32BD3" w:rsidRDefault="00C13B2D" w:rsidP="00C13B2D">
      <w:pPr>
        <w:rPr>
          <w:rFonts w:ascii="Arial" w:hAnsi="Arial" w:cs="Arial"/>
        </w:rPr>
      </w:pPr>
    </w:p>
    <w:p w:rsidR="00C13B2D" w:rsidRPr="00A32BD3" w:rsidRDefault="00C13B2D" w:rsidP="00C13B2D">
      <w:pPr>
        <w:rPr>
          <w:rFonts w:ascii="Arial" w:hAnsi="Arial" w:cs="Arial"/>
        </w:rPr>
      </w:pPr>
    </w:p>
    <w:p w:rsidR="00C13B2D" w:rsidRPr="00A32BD3" w:rsidRDefault="00C13B2D" w:rsidP="00C13B2D">
      <w:pPr>
        <w:rPr>
          <w:rFonts w:ascii="Arial" w:hAnsi="Arial" w:cs="Arial"/>
          <w:b/>
        </w:rPr>
      </w:pPr>
      <w:r w:rsidRPr="00A32BD3">
        <w:rPr>
          <w:rFonts w:ascii="Arial" w:hAnsi="Arial" w:cs="Arial"/>
          <w:b/>
        </w:rPr>
        <w:t>Section 2 – Wheelchair Accessible Standards (10% minimum</w:t>
      </w:r>
      <w:r w:rsidR="004D7AC8">
        <w:rPr>
          <w:rFonts w:ascii="Arial" w:hAnsi="Arial" w:cs="Arial"/>
          <w:b/>
        </w:rPr>
        <w:t xml:space="preserve"> of a development</w:t>
      </w:r>
      <w:r w:rsidRPr="00A32BD3">
        <w:rPr>
          <w:rFonts w:ascii="Arial" w:hAnsi="Arial" w:cs="Arial"/>
          <w:b/>
        </w:rPr>
        <w:t>) as stated in Access Design Guide SPD</w:t>
      </w:r>
      <w:r w:rsidR="00B118F8">
        <w:rPr>
          <w:rFonts w:ascii="Arial" w:hAnsi="Arial" w:cs="Arial"/>
          <w:b/>
        </w:rPr>
        <w:t xml:space="preserve"> (adopted December 2010)</w:t>
      </w:r>
      <w:r w:rsidRPr="00A32BD3">
        <w:rPr>
          <w:rFonts w:ascii="Arial" w:hAnsi="Arial" w:cs="Arial"/>
          <w:b/>
        </w:rPr>
        <w:t>:</w:t>
      </w:r>
    </w:p>
    <w:p w:rsidR="00C13B2D" w:rsidRPr="00A32BD3" w:rsidRDefault="00C13B2D" w:rsidP="00C13B2D">
      <w:pPr>
        <w:rPr>
          <w:rFonts w:ascii="Arial" w:hAnsi="Arial" w:cs="Arial"/>
        </w:rPr>
      </w:pPr>
    </w:p>
    <w:p w:rsidR="00C13B2D" w:rsidRPr="00A32BD3" w:rsidRDefault="00C13B2D" w:rsidP="00C13B2D">
      <w:pPr>
        <w:rPr>
          <w:rFonts w:ascii="Arial" w:hAnsi="Arial" w:cs="Arial"/>
        </w:rPr>
      </w:pPr>
      <w:r w:rsidRPr="00A32BD3">
        <w:rPr>
          <w:rFonts w:ascii="Arial" w:hAnsi="Arial" w:cs="Arial"/>
          <w:u w:val="single"/>
        </w:rPr>
        <w:t>All private and affordable new housing</w:t>
      </w:r>
      <w:r w:rsidRPr="00A32BD3">
        <w:rPr>
          <w:rFonts w:ascii="Arial" w:hAnsi="Arial" w:cs="Arial"/>
        </w:rPr>
        <w:t xml:space="preserve"> </w:t>
      </w:r>
      <w:proofErr w:type="gramStart"/>
      <w:r w:rsidRPr="00A32BD3">
        <w:rPr>
          <w:rFonts w:ascii="Arial" w:hAnsi="Arial" w:cs="Arial"/>
        </w:rPr>
        <w:t>development</w:t>
      </w:r>
      <w:proofErr w:type="gramEnd"/>
      <w:r w:rsidRPr="00A32BD3">
        <w:rPr>
          <w:rFonts w:ascii="Arial" w:hAnsi="Arial" w:cs="Arial"/>
        </w:rPr>
        <w:t xml:space="preserve"> must meet the following </w:t>
      </w:r>
      <w:proofErr w:type="spellStart"/>
      <w:r w:rsidRPr="00A32BD3">
        <w:rPr>
          <w:rFonts w:ascii="Arial" w:hAnsi="Arial" w:cs="Arial"/>
        </w:rPr>
        <w:t>floorspace</w:t>
      </w:r>
      <w:proofErr w:type="spellEnd"/>
      <w:r w:rsidRPr="00A32BD3">
        <w:rPr>
          <w:rFonts w:ascii="Arial" w:hAnsi="Arial" w:cs="Arial"/>
        </w:rPr>
        <w:t xml:space="preserve"> and structural arrangements:</w:t>
      </w:r>
    </w:p>
    <w:p w:rsidR="00C13B2D" w:rsidRPr="00A32BD3" w:rsidRDefault="00C13B2D" w:rsidP="00C13B2D">
      <w:pPr>
        <w:rPr>
          <w:rFonts w:ascii="Arial" w:hAnsi="Arial" w:cs="Arial"/>
        </w:rPr>
      </w:pPr>
    </w:p>
    <w:p w:rsidR="00C13B2D" w:rsidRPr="00A32BD3" w:rsidRDefault="00C13B2D" w:rsidP="00C13B2D">
      <w:pPr>
        <w:rPr>
          <w:rFonts w:ascii="Arial" w:hAnsi="Arial" w:cs="Arial"/>
        </w:rPr>
      </w:pPr>
      <w:r w:rsidRPr="00A32BD3">
        <w:rPr>
          <w:rFonts w:ascii="Arial" w:hAnsi="Arial" w:cs="Arial"/>
        </w:rPr>
        <w:t xml:space="preserve">NB: If multiple units with different </w:t>
      </w:r>
      <w:proofErr w:type="gramStart"/>
      <w:r w:rsidRPr="00A32BD3">
        <w:rPr>
          <w:rFonts w:ascii="Arial" w:hAnsi="Arial" w:cs="Arial"/>
        </w:rPr>
        <w:t>specifications,</w:t>
      </w:r>
      <w:proofErr w:type="gramEnd"/>
      <w:r w:rsidRPr="00A32BD3">
        <w:rPr>
          <w:rFonts w:ascii="Arial" w:hAnsi="Arial" w:cs="Arial"/>
        </w:rPr>
        <w:t xml:space="preserve"> please complete appropriate multiple copies.</w:t>
      </w:r>
    </w:p>
    <w:p w:rsidR="00C13B2D" w:rsidRPr="00A32BD3" w:rsidRDefault="00C13B2D" w:rsidP="00C13B2D">
      <w:pP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620"/>
        <w:gridCol w:w="1260"/>
      </w:tblGrid>
      <w:tr w:rsidR="00C13B2D" w:rsidRPr="00A32BD3" w:rsidTr="00C13B2D">
        <w:tc>
          <w:tcPr>
            <w:tcW w:w="6228" w:type="dxa"/>
          </w:tcPr>
          <w:p w:rsidR="00C13B2D" w:rsidRPr="00A32BD3" w:rsidRDefault="00C13B2D" w:rsidP="00C13B2D">
            <w:pPr>
              <w:autoSpaceDE w:val="0"/>
              <w:autoSpaceDN w:val="0"/>
              <w:adjustRightInd w:val="0"/>
              <w:rPr>
                <w:rFonts w:ascii="Arial" w:hAnsi="Arial" w:cs="Arial"/>
                <w:b/>
              </w:rPr>
            </w:pPr>
            <w:r w:rsidRPr="00A32BD3">
              <w:rPr>
                <w:rFonts w:ascii="Arial" w:hAnsi="Arial" w:cs="Arial"/>
                <w:b/>
              </w:rPr>
              <w:t>Standard – Unit number __</w:t>
            </w:r>
          </w:p>
        </w:tc>
        <w:tc>
          <w:tcPr>
            <w:tcW w:w="1620" w:type="dxa"/>
          </w:tcPr>
          <w:p w:rsidR="00C13B2D" w:rsidRPr="00A32BD3" w:rsidRDefault="00C13B2D" w:rsidP="00C13B2D">
            <w:pPr>
              <w:autoSpaceDE w:val="0"/>
              <w:autoSpaceDN w:val="0"/>
              <w:adjustRightInd w:val="0"/>
              <w:rPr>
                <w:rFonts w:ascii="Arial" w:hAnsi="Arial" w:cs="Arial"/>
                <w:b/>
              </w:rPr>
            </w:pPr>
            <w:r w:rsidRPr="00A32BD3">
              <w:rPr>
                <w:rFonts w:ascii="Arial" w:hAnsi="Arial" w:cs="Arial"/>
                <w:b/>
              </w:rPr>
              <w:t>Fully met</w:t>
            </w:r>
          </w:p>
        </w:tc>
        <w:tc>
          <w:tcPr>
            <w:tcW w:w="1260" w:type="dxa"/>
          </w:tcPr>
          <w:p w:rsidR="00C13B2D" w:rsidRPr="00A32BD3" w:rsidRDefault="00C13B2D" w:rsidP="00C13B2D">
            <w:pPr>
              <w:autoSpaceDE w:val="0"/>
              <w:autoSpaceDN w:val="0"/>
              <w:adjustRightInd w:val="0"/>
              <w:rPr>
                <w:rFonts w:ascii="Arial" w:hAnsi="Arial" w:cs="Arial"/>
                <w:b/>
              </w:rPr>
            </w:pPr>
            <w:r w:rsidRPr="00A32BD3">
              <w:rPr>
                <w:rFonts w:ascii="Arial" w:hAnsi="Arial" w:cs="Arial"/>
                <w:b/>
              </w:rPr>
              <w:t>Not met</w:t>
            </w: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 xml:space="preserve">Level or gently </w:t>
            </w:r>
            <w:r w:rsidR="00516F47">
              <w:rPr>
                <w:rFonts w:ascii="Arial" w:hAnsi="Arial" w:cs="Arial"/>
              </w:rPr>
              <w:t xml:space="preserve">sloped </w:t>
            </w:r>
            <w:r w:rsidRPr="00A32BD3">
              <w:rPr>
                <w:rFonts w:ascii="Arial" w:hAnsi="Arial" w:cs="Arial"/>
              </w:rPr>
              <w:t>route to all entrances</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2C6201" w:rsidRPr="00A32BD3" w:rsidTr="00C13B2D">
        <w:tc>
          <w:tcPr>
            <w:tcW w:w="6228" w:type="dxa"/>
          </w:tcPr>
          <w:p w:rsidR="002C6201" w:rsidRPr="00A32BD3" w:rsidRDefault="002C6201" w:rsidP="0085610D">
            <w:pPr>
              <w:rPr>
                <w:rFonts w:ascii="Arial" w:hAnsi="Arial" w:cs="Arial"/>
              </w:rPr>
            </w:pPr>
            <w:r>
              <w:rPr>
                <w:rFonts w:ascii="Arial" w:hAnsi="Arial" w:cs="Arial"/>
              </w:rPr>
              <w:t>If flat/s located above/below ground level, two lifts should be provided</w:t>
            </w:r>
          </w:p>
        </w:tc>
        <w:tc>
          <w:tcPr>
            <w:tcW w:w="1620" w:type="dxa"/>
          </w:tcPr>
          <w:p w:rsidR="002C6201" w:rsidRPr="00A32BD3" w:rsidRDefault="002C6201" w:rsidP="0085610D">
            <w:pPr>
              <w:rPr>
                <w:rFonts w:ascii="Arial" w:hAnsi="Arial" w:cs="Arial"/>
              </w:rPr>
            </w:pPr>
          </w:p>
        </w:tc>
        <w:tc>
          <w:tcPr>
            <w:tcW w:w="1260" w:type="dxa"/>
          </w:tcPr>
          <w:p w:rsidR="002C6201" w:rsidRPr="00A32BD3" w:rsidRDefault="002C6201"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If car parking space provided – 3.6m width</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Entrance covered and well lit</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Entrance - level threshold</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All external doors – minimum 900mm width</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Minimum 300mm beside leading edge of door</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Appropriate corridor widths</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 xml:space="preserve">Appropriate internal </w:t>
            </w:r>
            <w:proofErr w:type="spellStart"/>
            <w:r w:rsidRPr="00A32BD3">
              <w:rPr>
                <w:rFonts w:ascii="Arial" w:hAnsi="Arial" w:cs="Arial"/>
              </w:rPr>
              <w:t>doorwidths</w:t>
            </w:r>
            <w:proofErr w:type="spellEnd"/>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Wheelchair storage/charging space</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Full height knockout panel from bathroom</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Bathroom size at least 2.5m x 2.7m</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rPr>
              <w:t>If relevant, provision for future through floor lift</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proofErr w:type="spellStart"/>
            <w:r w:rsidRPr="00A32BD3">
              <w:rPr>
                <w:rFonts w:ascii="Arial" w:hAnsi="Arial" w:cs="Arial"/>
              </w:rPr>
              <w:t>Floorspace</w:t>
            </w:r>
            <w:proofErr w:type="spellEnd"/>
            <w:r w:rsidRPr="00A32BD3">
              <w:rPr>
                <w:rFonts w:ascii="Arial" w:hAnsi="Arial" w:cs="Arial"/>
              </w:rPr>
              <w:t xml:space="preserve"> standards</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85610D">
            <w:pPr>
              <w:rPr>
                <w:rFonts w:ascii="Arial" w:hAnsi="Arial" w:cs="Arial"/>
              </w:rPr>
            </w:pPr>
            <w:r w:rsidRPr="00A32BD3">
              <w:rPr>
                <w:rFonts w:ascii="Arial" w:hAnsi="Arial" w:cs="Arial"/>
                <w:u w:val="single"/>
              </w:rPr>
              <w:t>Affordable only</w:t>
            </w:r>
            <w:r w:rsidRPr="00A32BD3">
              <w:rPr>
                <w:rFonts w:ascii="Arial" w:hAnsi="Arial" w:cs="Arial"/>
              </w:rPr>
              <w:t xml:space="preserve"> – contact Housing Needs section: 020 7361 3008</w:t>
            </w:r>
            <w:r w:rsidR="004D7AC8">
              <w:rPr>
                <w:rFonts w:ascii="Arial" w:hAnsi="Arial" w:cs="Arial"/>
              </w:rPr>
              <w:t xml:space="preserve"> who will require additional information.</w:t>
            </w: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r w:rsidR="00C13B2D" w:rsidRPr="00A32BD3" w:rsidTr="00C13B2D">
        <w:tc>
          <w:tcPr>
            <w:tcW w:w="6228" w:type="dxa"/>
          </w:tcPr>
          <w:p w:rsidR="00C13B2D" w:rsidRPr="00A32BD3" w:rsidRDefault="00C13B2D" w:rsidP="00C13B2D">
            <w:pPr>
              <w:autoSpaceDE w:val="0"/>
              <w:autoSpaceDN w:val="0"/>
              <w:adjustRightInd w:val="0"/>
              <w:rPr>
                <w:rFonts w:ascii="Arial" w:hAnsi="Arial" w:cs="Arial"/>
              </w:rPr>
            </w:pPr>
            <w:r w:rsidRPr="00A32BD3">
              <w:rPr>
                <w:rFonts w:ascii="Arial" w:hAnsi="Arial" w:cs="Arial"/>
              </w:rPr>
              <w:t>Where ‘not met’ give explanation……what compensatory measures:</w:t>
            </w:r>
          </w:p>
          <w:p w:rsidR="00C13B2D" w:rsidRPr="00A32BD3" w:rsidRDefault="00C13B2D" w:rsidP="0085610D">
            <w:pPr>
              <w:rPr>
                <w:rFonts w:ascii="Arial" w:hAnsi="Arial" w:cs="Arial"/>
              </w:rPr>
            </w:pPr>
          </w:p>
          <w:p w:rsidR="00C13B2D" w:rsidRPr="00A32BD3" w:rsidRDefault="00C13B2D" w:rsidP="0085610D">
            <w:pPr>
              <w:rPr>
                <w:rFonts w:ascii="Arial" w:hAnsi="Arial" w:cs="Arial"/>
              </w:rPr>
            </w:pPr>
          </w:p>
          <w:p w:rsidR="00C13B2D" w:rsidRPr="00A32BD3" w:rsidRDefault="00C13B2D" w:rsidP="0085610D">
            <w:pPr>
              <w:rPr>
                <w:rFonts w:ascii="Arial" w:hAnsi="Arial" w:cs="Arial"/>
              </w:rPr>
            </w:pPr>
          </w:p>
          <w:p w:rsidR="00CE12D3" w:rsidRDefault="00CE12D3" w:rsidP="0085610D">
            <w:pPr>
              <w:rPr>
                <w:rFonts w:ascii="Arial" w:hAnsi="Arial" w:cs="Arial"/>
              </w:rPr>
            </w:pPr>
          </w:p>
          <w:p w:rsidR="004D7AC8" w:rsidRPr="00A32BD3" w:rsidRDefault="004D7AC8" w:rsidP="0085610D">
            <w:pPr>
              <w:rPr>
                <w:rFonts w:ascii="Arial" w:hAnsi="Arial" w:cs="Arial"/>
              </w:rPr>
            </w:pPr>
          </w:p>
        </w:tc>
        <w:tc>
          <w:tcPr>
            <w:tcW w:w="1620" w:type="dxa"/>
          </w:tcPr>
          <w:p w:rsidR="00C13B2D" w:rsidRPr="00A32BD3" w:rsidRDefault="00C13B2D" w:rsidP="0085610D">
            <w:pPr>
              <w:rPr>
                <w:rFonts w:ascii="Arial" w:hAnsi="Arial" w:cs="Arial"/>
              </w:rPr>
            </w:pPr>
          </w:p>
        </w:tc>
        <w:tc>
          <w:tcPr>
            <w:tcW w:w="1260" w:type="dxa"/>
          </w:tcPr>
          <w:p w:rsidR="00C13B2D" w:rsidRPr="00A32BD3" w:rsidRDefault="00C13B2D" w:rsidP="0085610D">
            <w:pPr>
              <w:rPr>
                <w:rFonts w:ascii="Arial" w:hAnsi="Arial" w:cs="Arial"/>
              </w:rPr>
            </w:pPr>
          </w:p>
        </w:tc>
      </w:tr>
    </w:tbl>
    <w:p w:rsidR="00C13B2D" w:rsidRPr="00A32BD3" w:rsidRDefault="00C13B2D" w:rsidP="00C13B2D">
      <w:pPr>
        <w:rPr>
          <w:rFonts w:ascii="Arial" w:hAnsi="Arial" w:cs="Arial"/>
        </w:rPr>
      </w:pPr>
    </w:p>
    <w:p w:rsidR="00C13B2D" w:rsidRPr="00A32BD3" w:rsidRDefault="00C13B2D" w:rsidP="00C13B2D">
      <w:pPr>
        <w:rPr>
          <w:rFonts w:ascii="Arial" w:hAnsi="Arial" w:cs="Arial"/>
        </w:rPr>
      </w:pPr>
    </w:p>
    <w:p w:rsidR="00C13B2D" w:rsidRPr="00A32BD3" w:rsidRDefault="00C13B2D" w:rsidP="00C13B2D">
      <w:pPr>
        <w:rPr>
          <w:rFonts w:ascii="Arial" w:hAnsi="Arial" w:cs="Arial"/>
        </w:rPr>
      </w:pPr>
    </w:p>
    <w:p w:rsidR="00C13B2D" w:rsidRPr="00A32BD3" w:rsidRDefault="00C13B2D" w:rsidP="00C13B2D">
      <w:pPr>
        <w:rPr>
          <w:rFonts w:ascii="Arial" w:hAnsi="Arial" w:cs="Arial"/>
        </w:rPr>
      </w:pPr>
    </w:p>
    <w:p w:rsidR="003219F5" w:rsidRPr="00A32BD3" w:rsidRDefault="003219F5" w:rsidP="008C7400"/>
    <w:sectPr w:rsidR="003219F5" w:rsidRPr="00A32BD3" w:rsidSect="005D3F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defaultTabStop w:val="720"/>
  <w:characterSpacingControl w:val="doNotCompress"/>
  <w:compat/>
  <w:rsids>
    <w:rsidRoot w:val="00C13B2D"/>
    <w:rsid w:val="00042C7C"/>
    <w:rsid w:val="000672A3"/>
    <w:rsid w:val="000B1B07"/>
    <w:rsid w:val="000B3657"/>
    <w:rsid w:val="000C46C4"/>
    <w:rsid w:val="00146A7B"/>
    <w:rsid w:val="001772E2"/>
    <w:rsid w:val="001C6BED"/>
    <w:rsid w:val="002606D0"/>
    <w:rsid w:val="00291726"/>
    <w:rsid w:val="002C6201"/>
    <w:rsid w:val="003219F5"/>
    <w:rsid w:val="0032406A"/>
    <w:rsid w:val="0039099E"/>
    <w:rsid w:val="003A0516"/>
    <w:rsid w:val="003C09F3"/>
    <w:rsid w:val="0040010A"/>
    <w:rsid w:val="00483329"/>
    <w:rsid w:val="004947CE"/>
    <w:rsid w:val="004A7ACB"/>
    <w:rsid w:val="004D7AC8"/>
    <w:rsid w:val="00516F47"/>
    <w:rsid w:val="00544CFF"/>
    <w:rsid w:val="0057614E"/>
    <w:rsid w:val="005D3F59"/>
    <w:rsid w:val="00650869"/>
    <w:rsid w:val="00687865"/>
    <w:rsid w:val="006C2093"/>
    <w:rsid w:val="006E4128"/>
    <w:rsid w:val="008076B0"/>
    <w:rsid w:val="00822A28"/>
    <w:rsid w:val="0085610D"/>
    <w:rsid w:val="00867513"/>
    <w:rsid w:val="008A49C5"/>
    <w:rsid w:val="008C7400"/>
    <w:rsid w:val="0096392C"/>
    <w:rsid w:val="00971FCF"/>
    <w:rsid w:val="009936A6"/>
    <w:rsid w:val="009A1822"/>
    <w:rsid w:val="009A5B61"/>
    <w:rsid w:val="00A1244A"/>
    <w:rsid w:val="00A32BD3"/>
    <w:rsid w:val="00A4326C"/>
    <w:rsid w:val="00AA0737"/>
    <w:rsid w:val="00AE3A62"/>
    <w:rsid w:val="00B118F8"/>
    <w:rsid w:val="00B1732B"/>
    <w:rsid w:val="00B303EE"/>
    <w:rsid w:val="00B60C65"/>
    <w:rsid w:val="00BA41E1"/>
    <w:rsid w:val="00BD5E9A"/>
    <w:rsid w:val="00C13B2D"/>
    <w:rsid w:val="00C206D9"/>
    <w:rsid w:val="00C72AA7"/>
    <w:rsid w:val="00C83FA8"/>
    <w:rsid w:val="00CE12D3"/>
    <w:rsid w:val="00D1708A"/>
    <w:rsid w:val="00D258FA"/>
    <w:rsid w:val="00D65C85"/>
    <w:rsid w:val="00DD1D5F"/>
    <w:rsid w:val="00DF1561"/>
    <w:rsid w:val="00E32F0D"/>
    <w:rsid w:val="00E80074"/>
    <w:rsid w:val="00E80C87"/>
    <w:rsid w:val="00FC3FF3"/>
    <w:rsid w:val="00FC78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semiHidden="0" w:uiPriority="11" w:unhideWhenUsed="0" w:qFormat="1"/>
    <w:lsdException w:name="Salutation" w:locked="1"/>
    <w:lsdException w:name="Date" w:locked="1"/>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2D"/>
    <w:rPr>
      <w:rFonts w:ascii="Times New Roman" w:eastAsia="Times New Roman" w:hAnsi="Times New Roman"/>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ascii="Arial" w:hAnsi="Arial"/>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rsid w:val="00C13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PLNSL</dc:creator>
  <cp:keywords/>
  <dc:description/>
  <cp:lastModifiedBy>Sophie Payne</cp:lastModifiedBy>
  <cp:revision>3</cp:revision>
  <cp:lastPrinted>2010-11-23T14:47:00Z</cp:lastPrinted>
  <dcterms:created xsi:type="dcterms:W3CDTF">2011-02-25T10:48:00Z</dcterms:created>
  <dcterms:modified xsi:type="dcterms:W3CDTF">2011-02-25T15:36:00Z</dcterms:modified>
</cp:coreProperties>
</file>